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27208" w14:textId="77777777" w:rsidR="00FA530E" w:rsidRDefault="00821936" w:rsidP="00821936">
      <w:pPr>
        <w:spacing w:after="0" w:line="300" w:lineRule="auto"/>
        <w:jc w:val="right"/>
        <w:rPr>
          <w:rFonts w:cs="Arial"/>
          <w:b/>
          <w:sz w:val="28"/>
          <w:szCs w:val="28"/>
        </w:rPr>
      </w:pPr>
      <w:r w:rsidRPr="00094B7B">
        <w:rPr>
          <w:rFonts w:eastAsia="Tahoma" w:cs="Times New Roman"/>
          <w:b/>
        </w:rPr>
        <w:t xml:space="preserve">Załącznik nr </w:t>
      </w:r>
      <w:r w:rsidR="005D3873">
        <w:rPr>
          <w:rFonts w:eastAsia="Tahoma" w:cs="Times New Roman"/>
          <w:b/>
        </w:rPr>
        <w:t>4</w:t>
      </w:r>
    </w:p>
    <w:p w14:paraId="145D79AC" w14:textId="77777777" w:rsidR="00821936" w:rsidRDefault="00821936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B58E626" w14:textId="77777777" w:rsidR="0045653E" w:rsidRDefault="0045653E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1116A03" w14:textId="4F325FE1" w:rsidR="00872F1D" w:rsidRPr="00872F1D" w:rsidRDefault="00505695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Umowa nr </w:t>
      </w:r>
      <w:r w:rsidR="003958A1" w:rsidRPr="003958A1">
        <w:rPr>
          <w:rFonts w:cs="Arial"/>
          <w:b/>
          <w:sz w:val="28"/>
          <w:szCs w:val="28"/>
        </w:rPr>
        <w:t>LAB/FEWM.01.02-02/2024/</w:t>
      </w:r>
      <w:r w:rsidR="008C68FF">
        <w:rPr>
          <w:rFonts w:cs="Arial"/>
          <w:b/>
          <w:sz w:val="28"/>
          <w:szCs w:val="28"/>
        </w:rPr>
        <w:t>1</w:t>
      </w:r>
      <w:r w:rsidR="003958A1" w:rsidRPr="003958A1">
        <w:rPr>
          <w:rFonts w:cs="Arial"/>
          <w:b/>
          <w:sz w:val="28"/>
          <w:szCs w:val="28"/>
        </w:rPr>
        <w:t>.1</w:t>
      </w:r>
    </w:p>
    <w:p w14:paraId="741CED92" w14:textId="77777777" w:rsidR="00FA530E" w:rsidRDefault="00FA530E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14D2FD3E" w14:textId="77777777" w:rsidR="000719C9" w:rsidRDefault="000719C9" w:rsidP="00184F07">
      <w:pPr>
        <w:pStyle w:val="Default"/>
        <w:spacing w:line="30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zawarta w </w:t>
      </w:r>
      <w:r w:rsidR="00892F8D">
        <w:rPr>
          <w:rFonts w:asciiTheme="minorHAnsi" w:hAnsiTheme="minorHAnsi" w:cstheme="minorHAnsi"/>
          <w:b/>
          <w:iCs/>
          <w:sz w:val="22"/>
          <w:szCs w:val="22"/>
        </w:rPr>
        <w:t>Ostródzie</w:t>
      </w:r>
      <w:r>
        <w:rPr>
          <w:rFonts w:asciiTheme="minorHAnsi" w:hAnsiTheme="minorHAnsi" w:cstheme="minorHAnsi"/>
          <w:iCs/>
          <w:sz w:val="22"/>
          <w:szCs w:val="22"/>
        </w:rPr>
        <w:t xml:space="preserve"> w dniu </w:t>
      </w:r>
      <w:r w:rsidR="00E14A49">
        <w:rPr>
          <w:rFonts w:asciiTheme="minorHAnsi" w:hAnsiTheme="minorHAnsi" w:cstheme="minorHAnsi"/>
          <w:iCs/>
          <w:sz w:val="22"/>
          <w:szCs w:val="22"/>
        </w:rPr>
        <w:t>………………………………</w:t>
      </w:r>
      <w:r>
        <w:rPr>
          <w:rFonts w:asciiTheme="minorHAnsi" w:hAnsiTheme="minorHAnsi" w:cstheme="minorHAnsi"/>
          <w:iCs/>
          <w:sz w:val="22"/>
          <w:szCs w:val="22"/>
        </w:rPr>
        <w:t xml:space="preserve"> pomiędzy:</w:t>
      </w:r>
    </w:p>
    <w:p w14:paraId="7D49E918" w14:textId="77777777" w:rsidR="000719C9" w:rsidRDefault="000719C9" w:rsidP="00184F07">
      <w:pPr>
        <w:pStyle w:val="Default"/>
        <w:spacing w:line="30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1780390E" w14:textId="33EBB38D" w:rsidR="000719C9" w:rsidRDefault="00892F8D" w:rsidP="00184F07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 w:rsidRPr="00892F8D">
        <w:rPr>
          <w:rFonts w:asciiTheme="minorHAnsi" w:hAnsiTheme="minorHAnsi" w:cs="Arial"/>
          <w:sz w:val="22"/>
          <w:szCs w:val="22"/>
        </w:rPr>
        <w:t>firmą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</w:t>
      </w:r>
      <w:r w:rsidR="003958A1" w:rsidRPr="003958A1">
        <w:rPr>
          <w:rFonts w:asciiTheme="minorHAnsi" w:hAnsiTheme="minorHAnsi" w:cs="Arial"/>
          <w:b/>
          <w:sz w:val="22"/>
          <w:szCs w:val="22"/>
        </w:rPr>
        <w:t>Laboratorium Badawcze BIOLAB Tomasz Szubstarski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</w:t>
      </w:r>
      <w:r w:rsidRPr="00892F8D">
        <w:rPr>
          <w:rFonts w:asciiTheme="minorHAnsi" w:hAnsiTheme="minorHAnsi" w:cs="Arial"/>
          <w:sz w:val="22"/>
          <w:szCs w:val="22"/>
        </w:rPr>
        <w:t xml:space="preserve">z siedzibą w Ostródzie przy ul. Grunwaldzkiej 62 (poczta 14-100 Ostróda), </w:t>
      </w:r>
      <w:r w:rsidR="003958A1" w:rsidRPr="003958A1">
        <w:rPr>
          <w:rFonts w:asciiTheme="minorHAnsi" w:hAnsiTheme="minorHAnsi" w:cs="Arial"/>
          <w:sz w:val="22"/>
          <w:szCs w:val="22"/>
        </w:rPr>
        <w:t>NIP 741-158-11-14</w:t>
      </w:r>
      <w:r w:rsidRPr="00892F8D">
        <w:rPr>
          <w:rFonts w:asciiTheme="minorHAnsi" w:hAnsiTheme="minorHAnsi" w:cs="Arial"/>
          <w:sz w:val="22"/>
          <w:szCs w:val="22"/>
        </w:rPr>
        <w:t xml:space="preserve">, reprezentowaną przez </w:t>
      </w:r>
      <w:r w:rsidRPr="00892F8D">
        <w:rPr>
          <w:rFonts w:asciiTheme="minorHAnsi" w:hAnsiTheme="minorHAnsi" w:cs="Arial"/>
          <w:b/>
          <w:sz w:val="22"/>
          <w:szCs w:val="22"/>
        </w:rPr>
        <w:t>Tomasza Szubstarskiego</w:t>
      </w:r>
      <w:r w:rsidR="003958A1">
        <w:rPr>
          <w:rFonts w:asciiTheme="minorHAnsi" w:hAnsiTheme="minorHAnsi" w:cs="Arial"/>
          <w:b/>
          <w:sz w:val="22"/>
          <w:szCs w:val="22"/>
        </w:rPr>
        <w:t xml:space="preserve"> </w:t>
      </w:r>
      <w:r w:rsidRPr="00892F8D">
        <w:rPr>
          <w:rFonts w:asciiTheme="minorHAnsi" w:hAnsiTheme="minorHAnsi" w:cs="Arial"/>
          <w:b/>
          <w:sz w:val="22"/>
          <w:szCs w:val="22"/>
        </w:rPr>
        <w:t>– Właściciel</w:t>
      </w:r>
      <w:r w:rsidR="003958A1">
        <w:rPr>
          <w:rFonts w:asciiTheme="minorHAnsi" w:hAnsiTheme="minorHAnsi" w:cs="Arial"/>
          <w:b/>
          <w:sz w:val="22"/>
          <w:szCs w:val="22"/>
        </w:rPr>
        <w:t>a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Firmy</w:t>
      </w:r>
      <w:r w:rsidRPr="00892F8D">
        <w:rPr>
          <w:rFonts w:asciiTheme="minorHAnsi" w:hAnsiTheme="minorHAnsi" w:cs="Arial"/>
          <w:sz w:val="22"/>
          <w:szCs w:val="22"/>
        </w:rPr>
        <w:t xml:space="preserve">, zwaną w dalszej części umowy </w:t>
      </w:r>
      <w:r w:rsidRPr="00892F8D">
        <w:rPr>
          <w:rFonts w:asciiTheme="minorHAnsi" w:hAnsiTheme="minorHAnsi" w:cs="Arial"/>
          <w:b/>
          <w:sz w:val="22"/>
          <w:szCs w:val="22"/>
        </w:rPr>
        <w:t>Zamawiającym</w:t>
      </w:r>
    </w:p>
    <w:p w14:paraId="2D1980F7" w14:textId="77777777" w:rsidR="004B7185" w:rsidRDefault="004B7185" w:rsidP="00184F07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</w:t>
      </w:r>
    </w:p>
    <w:p w14:paraId="46754405" w14:textId="77777777" w:rsidR="004B7185" w:rsidRDefault="004B7185" w:rsidP="00184F07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firmą</w:t>
      </w:r>
      <w:r w:rsidR="009C1A28">
        <w:rPr>
          <w:rFonts w:asciiTheme="minorHAnsi" w:hAnsiTheme="minorHAnsi" w:cs="Arial"/>
          <w:sz w:val="22"/>
          <w:szCs w:val="22"/>
        </w:rPr>
        <w:t xml:space="preserve">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…………………………………………...</w:t>
      </w:r>
      <w:r w:rsidR="009C1A28">
        <w:rPr>
          <w:rFonts w:asciiTheme="minorHAnsi" w:hAnsiTheme="minorHAnsi" w:cs="Arial"/>
          <w:sz w:val="22"/>
          <w:szCs w:val="22"/>
        </w:rPr>
        <w:t xml:space="preserve"> z siedzibą w </w:t>
      </w:r>
      <w:r w:rsidR="00E14A49">
        <w:rPr>
          <w:rFonts w:asciiTheme="minorHAnsi" w:hAnsiTheme="minorHAnsi" w:cs="Arial"/>
          <w:sz w:val="22"/>
          <w:szCs w:val="22"/>
        </w:rPr>
        <w:t>………………………………………………………………………..</w:t>
      </w:r>
      <w:r w:rsidR="004501B8">
        <w:rPr>
          <w:rFonts w:asciiTheme="minorHAnsi" w:hAnsiTheme="minorHAnsi" w:cs="Arial"/>
          <w:sz w:val="22"/>
          <w:szCs w:val="22"/>
        </w:rPr>
        <w:t xml:space="preserve"> (poczta</w:t>
      </w:r>
      <w:r w:rsidR="00E14A49">
        <w:rPr>
          <w:rFonts w:asciiTheme="minorHAnsi" w:hAnsiTheme="minorHAnsi" w:cs="Arial"/>
          <w:sz w:val="22"/>
          <w:szCs w:val="22"/>
        </w:rPr>
        <w:t xml:space="preserve"> …………………………………………………</w:t>
      </w:r>
      <w:r w:rsidR="004501B8">
        <w:rPr>
          <w:rFonts w:asciiTheme="minorHAnsi" w:hAnsiTheme="minorHAnsi" w:cs="Arial"/>
          <w:sz w:val="22"/>
          <w:szCs w:val="22"/>
        </w:rPr>
        <w:t xml:space="preserve">), </w:t>
      </w:r>
      <w:r w:rsidR="009C1A28">
        <w:rPr>
          <w:rFonts w:asciiTheme="minorHAnsi" w:hAnsiTheme="minorHAnsi" w:cs="Arial"/>
          <w:sz w:val="22"/>
          <w:szCs w:val="22"/>
        </w:rPr>
        <w:t xml:space="preserve">NIP </w:t>
      </w:r>
      <w:r w:rsidR="00E14A49">
        <w:rPr>
          <w:rFonts w:asciiTheme="minorHAnsi" w:hAnsiTheme="minorHAnsi" w:cs="Arial"/>
          <w:sz w:val="22"/>
          <w:szCs w:val="22"/>
        </w:rPr>
        <w:t>………………………</w:t>
      </w:r>
      <w:r w:rsidR="009C1A28">
        <w:rPr>
          <w:rFonts w:asciiTheme="minorHAnsi" w:hAnsiTheme="minorHAnsi" w:cs="Arial"/>
          <w:sz w:val="22"/>
          <w:szCs w:val="22"/>
        </w:rPr>
        <w:t xml:space="preserve">, reprezentowaną przez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……………………………………………………….</w:t>
      </w:r>
      <w:r w:rsidR="009C1A28">
        <w:rPr>
          <w:rFonts w:asciiTheme="minorHAnsi" w:hAnsiTheme="minorHAnsi" w:cs="Arial"/>
          <w:sz w:val="22"/>
          <w:szCs w:val="22"/>
        </w:rPr>
        <w:t xml:space="preserve">, zwaną w </w:t>
      </w:r>
      <w:r w:rsidR="00FE051C">
        <w:rPr>
          <w:rFonts w:asciiTheme="minorHAnsi" w:hAnsiTheme="minorHAnsi" w:cs="Arial"/>
          <w:sz w:val="22"/>
          <w:szCs w:val="22"/>
        </w:rPr>
        <w:t xml:space="preserve">dalszej części umowy </w:t>
      </w:r>
      <w:r w:rsidR="00623B5B">
        <w:rPr>
          <w:rFonts w:asciiTheme="minorHAnsi" w:hAnsiTheme="minorHAnsi" w:cs="Arial"/>
          <w:b/>
          <w:sz w:val="22"/>
          <w:szCs w:val="22"/>
        </w:rPr>
        <w:t>Dostawcą</w:t>
      </w:r>
    </w:p>
    <w:p w14:paraId="1BBF47D0" w14:textId="77777777" w:rsidR="004B7185" w:rsidRDefault="004B7185" w:rsidP="00184F07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14:paraId="1432C1CB" w14:textId="77777777" w:rsidR="008B116B" w:rsidRPr="00116BE8" w:rsidRDefault="004B7185" w:rsidP="00184F07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</w:t>
      </w:r>
      <w:r w:rsidR="00371061">
        <w:rPr>
          <w:rFonts w:asciiTheme="minorHAnsi" w:hAnsiTheme="minorHAnsi" w:cs="Arial"/>
          <w:b/>
          <w:bCs/>
          <w:sz w:val="22"/>
          <w:szCs w:val="22"/>
        </w:rPr>
        <w:t>RZEDMIOT UMOWY</w:t>
      </w:r>
    </w:p>
    <w:p w14:paraId="7A414A4E" w14:textId="25B59BF9" w:rsidR="00371061" w:rsidRDefault="004501B8" w:rsidP="00184F07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501B8">
        <w:rPr>
          <w:rFonts w:asciiTheme="minorHAnsi" w:hAnsiTheme="minorHAnsi" w:cs="Arial"/>
          <w:sz w:val="22"/>
          <w:szCs w:val="22"/>
        </w:rPr>
        <w:t xml:space="preserve">Przedmiotem umowy jest </w:t>
      </w:r>
      <w:r w:rsidR="008C68FF">
        <w:rPr>
          <w:rFonts w:asciiTheme="minorHAnsi" w:hAnsiTheme="minorHAnsi" w:cstheme="minorHAnsi"/>
          <w:iCs/>
          <w:sz w:val="22"/>
          <w:szCs w:val="22"/>
        </w:rPr>
        <w:t>wykonanie</w:t>
      </w:r>
      <w:r w:rsidR="008C68F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Start w:id="0" w:name="_Hlk219274762"/>
      <w:r w:rsidR="008C68FF">
        <w:rPr>
          <w:rFonts w:asciiTheme="minorHAnsi" w:hAnsiTheme="minorHAnsi" w:cstheme="minorHAnsi"/>
          <w:b/>
          <w:iCs/>
          <w:sz w:val="22"/>
          <w:szCs w:val="22"/>
        </w:rPr>
        <w:t>usługi badawczej</w:t>
      </w:r>
      <w:r w:rsidR="008C68FF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8C68FF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8C68FF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8C68FF" w:rsidRPr="00B43497">
        <w:rPr>
          <w:rFonts w:asciiTheme="minorHAnsi" w:hAnsiTheme="minorHAnsi" w:cstheme="minorHAnsi"/>
          <w:b/>
          <w:iCs/>
          <w:sz w:val="22"/>
          <w:szCs w:val="22"/>
        </w:rPr>
        <w:t>Opracowanie procesu wzbogacania specyficznych targetów dla badanych patogenów</w:t>
      </w:r>
      <w:r w:rsidR="008C68FF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8C68F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8C68FF"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8C68FF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8C68FF" w:rsidRPr="00821C35">
        <w:rPr>
          <w:rFonts w:asciiTheme="minorHAnsi" w:hAnsiTheme="minorHAnsi" w:cstheme="minorHAnsi"/>
          <w:b/>
          <w:bCs/>
          <w:iCs/>
          <w:sz w:val="22"/>
          <w:szCs w:val="22"/>
        </w:rPr>
        <w:t>Opracowanie nowej usługi polegającej na sekwencjonowaniu wraz z analizą filogenetyczną wybranych,</w:t>
      </w:r>
      <w:r w:rsidR="008C68F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8C68FF" w:rsidRPr="00821C35">
        <w:rPr>
          <w:rFonts w:asciiTheme="minorHAnsi" w:hAnsiTheme="minorHAnsi" w:cstheme="minorHAnsi"/>
          <w:b/>
          <w:bCs/>
          <w:iCs/>
          <w:sz w:val="22"/>
          <w:szCs w:val="22"/>
        </w:rPr>
        <w:t>wiodących patogenów drobiu oraz trzody chlewnej</w:t>
      </w:r>
      <w:r w:rsidR="008C68FF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8C68FF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8C68FF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8C68FF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8C68FF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8C68FF" w:rsidRPr="00C22850">
        <w:rPr>
          <w:rFonts w:asciiTheme="minorHAnsi" w:hAnsiTheme="minorHAnsi" w:cstheme="minorHAnsi"/>
          <w:iCs/>
          <w:sz w:val="22"/>
          <w:szCs w:val="22"/>
        </w:rPr>
        <w:t>dla</w:t>
      </w:r>
      <w:r w:rsidR="008C68FF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8C68FF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8C68FF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8C68FF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8C68FF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8C68FF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 w:rsidR="00751E37" w:rsidRPr="004501B8">
        <w:rPr>
          <w:rFonts w:asciiTheme="minorHAnsi" w:hAnsiTheme="minorHAnsi" w:cstheme="minorHAnsi"/>
          <w:iCs/>
          <w:sz w:val="22"/>
          <w:szCs w:val="22"/>
        </w:rPr>
        <w:t>.</w:t>
      </w:r>
    </w:p>
    <w:p w14:paraId="35CC9011" w14:textId="3CA8D5A5" w:rsidR="00FA530E" w:rsidRDefault="008C68FF" w:rsidP="00184F07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Opis celu i zakresu usługi badawczej został zapisany w załączniku nr 1 do niniejszej umowy</w:t>
      </w:r>
      <w:r w:rsidR="00E7214E"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="00FA530E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651C6562" w14:textId="77777777" w:rsidR="00F506EC" w:rsidRPr="00116BE8" w:rsidRDefault="00F506EC" w:rsidP="00184F07">
      <w:pPr>
        <w:pStyle w:val="Default"/>
        <w:spacing w:line="300" w:lineRule="auto"/>
        <w:rPr>
          <w:rFonts w:asciiTheme="minorHAnsi" w:hAnsiTheme="minorHAnsi" w:cs="Arial"/>
          <w:sz w:val="22"/>
          <w:szCs w:val="22"/>
        </w:rPr>
      </w:pPr>
    </w:p>
    <w:p w14:paraId="0D6A54AB" w14:textId="77777777" w:rsidR="00623B5B" w:rsidRPr="00116BE8" w:rsidRDefault="00623B5B" w:rsidP="00184F07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TERMIN I MIEJSCE REALIZACJI UMOWY</w:t>
      </w:r>
    </w:p>
    <w:p w14:paraId="46213B38" w14:textId="695A46E8" w:rsidR="008C68FF" w:rsidRDefault="008C68FF" w:rsidP="00184F07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Strony ustalają, że przedmiot umowy zostanie zrealizowany w terminie </w:t>
      </w:r>
      <w:r w:rsidR="00AF55C3" w:rsidRPr="00AF55C3">
        <w:rPr>
          <w:rFonts w:asciiTheme="minorHAnsi" w:hAnsiTheme="minorHAnsi" w:cs="Arial"/>
          <w:b/>
          <w:sz w:val="22"/>
          <w:szCs w:val="22"/>
        </w:rPr>
        <w:t>od 30 marca 2026 roku do 31 maja 2027 roku</w:t>
      </w:r>
      <w:r>
        <w:rPr>
          <w:rFonts w:asciiTheme="minorHAnsi" w:hAnsiTheme="minorHAnsi" w:cs="Arial"/>
          <w:sz w:val="22"/>
          <w:szCs w:val="22"/>
        </w:rPr>
        <w:t>.</w:t>
      </w:r>
    </w:p>
    <w:p w14:paraId="10614EC7" w14:textId="03E9ACD0" w:rsidR="00623B5B" w:rsidRPr="00242825" w:rsidRDefault="008C68FF" w:rsidP="00184F07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Wszelkie prace związane z realizacją umowy będą odbywały się na terenie siedziby </w:t>
      </w:r>
      <w:r>
        <w:rPr>
          <w:rFonts w:asciiTheme="minorHAnsi" w:hAnsiTheme="minorHAnsi" w:cstheme="minorHAnsi"/>
          <w:b/>
          <w:sz w:val="22"/>
          <w:szCs w:val="22"/>
        </w:rPr>
        <w:t>Wykonawcy</w:t>
      </w:r>
      <w:r>
        <w:rPr>
          <w:rFonts w:asciiTheme="minorHAnsi" w:hAnsiTheme="minorHAnsi" w:cstheme="minorHAnsi"/>
          <w:sz w:val="22"/>
          <w:szCs w:val="22"/>
        </w:rPr>
        <w:t xml:space="preserve"> i/lub </w:t>
      </w:r>
      <w:r w:rsidRPr="00EA5693">
        <w:rPr>
          <w:rFonts w:asciiTheme="minorHAnsi" w:hAnsiTheme="minorHAnsi" w:cstheme="minorHAnsi"/>
          <w:b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>, o ile strony nie uzgodnią inaczej</w:t>
      </w:r>
      <w:r w:rsidR="00623B5B">
        <w:rPr>
          <w:rFonts w:asciiTheme="minorHAnsi" w:hAnsiTheme="minorHAnsi" w:cstheme="minorHAnsi"/>
          <w:sz w:val="22"/>
          <w:szCs w:val="22"/>
        </w:rPr>
        <w:t>.</w:t>
      </w:r>
    </w:p>
    <w:p w14:paraId="0017EF1B" w14:textId="77777777" w:rsidR="00151393" w:rsidRPr="00116BE8" w:rsidRDefault="00151393" w:rsidP="00184F07">
      <w:pPr>
        <w:spacing w:after="0" w:line="300" w:lineRule="auto"/>
        <w:jc w:val="both"/>
      </w:pPr>
    </w:p>
    <w:p w14:paraId="313C84E0" w14:textId="77777777" w:rsidR="00A92E4D" w:rsidRDefault="00670B1F" w:rsidP="00184F07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CENA I WARUNKI PŁATNOŚCI</w:t>
      </w:r>
    </w:p>
    <w:p w14:paraId="23A5DF8C" w14:textId="77777777" w:rsidR="008C68FF" w:rsidRDefault="008C68FF" w:rsidP="00184F07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 xml:space="preserve">Cenę za realizację przedmiotu umowy ustalono na </w:t>
      </w:r>
      <w:r>
        <w:rPr>
          <w:rFonts w:asciiTheme="minorHAnsi" w:hAnsiTheme="minorHAnsi" w:cstheme="minorHAnsi"/>
          <w:b/>
          <w:sz w:val="22"/>
          <w:szCs w:val="22"/>
        </w:rPr>
        <w:t>…………………… zł</w:t>
      </w:r>
      <w:r w:rsidRPr="00ED5E74">
        <w:rPr>
          <w:rFonts w:asciiTheme="minorHAnsi" w:hAnsiTheme="minorHAnsi" w:cstheme="minorHAnsi"/>
          <w:sz w:val="22"/>
          <w:szCs w:val="22"/>
        </w:rPr>
        <w:t xml:space="preserve"> (słownie: 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) netto.</w:t>
      </w:r>
    </w:p>
    <w:p w14:paraId="2D7DD41A" w14:textId="77777777" w:rsidR="008C68FF" w:rsidRPr="00ED5E74" w:rsidRDefault="008C68FF" w:rsidP="00184F07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>Powyższa cena uwzględnia wszystkie koszty związane z realizacją zamówienia. Do cen określonych w punkcie 1 zostanie doliczony podatek VAT zgodnie z obowiązującymi przepisami.</w:t>
      </w:r>
    </w:p>
    <w:p w14:paraId="4F3EC5E8" w14:textId="790E1AC8" w:rsidR="008C68FF" w:rsidRDefault="008C68FF" w:rsidP="00184F07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50D6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>zapłaci cenę sprzedaży na podstawie wystawion</w:t>
      </w:r>
      <w:r w:rsidR="007E2F1D">
        <w:rPr>
          <w:rFonts w:asciiTheme="minorHAnsi" w:hAnsiTheme="minorHAnsi" w:cstheme="minorHAnsi"/>
          <w:sz w:val="22"/>
          <w:szCs w:val="22"/>
        </w:rPr>
        <w:t xml:space="preserve">ych </w:t>
      </w:r>
      <w:r>
        <w:rPr>
          <w:rFonts w:asciiTheme="minorHAnsi" w:hAnsiTheme="minorHAnsi" w:cstheme="minorHAnsi"/>
          <w:sz w:val="22"/>
          <w:szCs w:val="22"/>
        </w:rPr>
        <w:t xml:space="preserve">faktur w terminie </w:t>
      </w:r>
      <w:r w:rsidRPr="00B55438">
        <w:rPr>
          <w:rFonts w:asciiTheme="minorHAnsi" w:hAnsiTheme="minorHAnsi" w:cstheme="minorHAnsi"/>
          <w:b/>
          <w:sz w:val="22"/>
          <w:szCs w:val="22"/>
        </w:rPr>
        <w:t>30</w:t>
      </w:r>
      <w:r w:rsidRPr="004D50D6">
        <w:rPr>
          <w:rFonts w:asciiTheme="minorHAnsi" w:hAnsiTheme="minorHAnsi" w:cstheme="minorHAnsi"/>
          <w:b/>
          <w:sz w:val="22"/>
          <w:szCs w:val="22"/>
        </w:rPr>
        <w:t xml:space="preserve"> dni</w:t>
      </w:r>
      <w:r>
        <w:rPr>
          <w:rFonts w:asciiTheme="minorHAnsi" w:hAnsiTheme="minorHAnsi" w:cstheme="minorHAnsi"/>
          <w:sz w:val="22"/>
          <w:szCs w:val="22"/>
        </w:rPr>
        <w:t xml:space="preserve"> od daty </w:t>
      </w:r>
      <w:r w:rsidR="007E2F1D">
        <w:rPr>
          <w:rFonts w:asciiTheme="minorHAnsi" w:hAnsiTheme="minorHAnsi" w:cstheme="minorHAnsi"/>
          <w:sz w:val="22"/>
          <w:szCs w:val="22"/>
        </w:rPr>
        <w:t>ich</w:t>
      </w:r>
      <w:r>
        <w:rPr>
          <w:rFonts w:asciiTheme="minorHAnsi" w:hAnsiTheme="minorHAnsi" w:cstheme="minorHAnsi"/>
          <w:sz w:val="22"/>
          <w:szCs w:val="22"/>
        </w:rPr>
        <w:t xml:space="preserve"> wystawienia.</w:t>
      </w:r>
    </w:p>
    <w:p w14:paraId="3FC7A595" w14:textId="487CF589" w:rsidR="001C6214" w:rsidRDefault="008C68FF" w:rsidP="00184F07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Podstawą do wystawienia </w:t>
      </w:r>
      <w:r w:rsidR="007E2F1D">
        <w:rPr>
          <w:rFonts w:asciiTheme="minorHAnsi" w:hAnsiTheme="minorHAnsi" w:cstheme="minorHAnsi"/>
          <w:sz w:val="22"/>
          <w:szCs w:val="22"/>
        </w:rPr>
        <w:t xml:space="preserve">każdej z </w:t>
      </w:r>
      <w:r>
        <w:rPr>
          <w:rFonts w:asciiTheme="minorHAnsi" w:hAnsiTheme="minorHAnsi" w:cstheme="minorHAnsi"/>
          <w:sz w:val="22"/>
          <w:szCs w:val="22"/>
        </w:rPr>
        <w:t>faktur będzie podpisany przez obie strony protokół odbioru przedmiotu umowy</w:t>
      </w:r>
      <w:r w:rsidR="007E2F1D">
        <w:rPr>
          <w:rFonts w:asciiTheme="minorHAnsi" w:hAnsiTheme="minorHAnsi" w:cstheme="minorHAnsi"/>
          <w:sz w:val="22"/>
          <w:szCs w:val="22"/>
        </w:rPr>
        <w:t xml:space="preserve"> w zakresie każdego ze zrealizowanych </w:t>
      </w:r>
      <w:r w:rsidR="001C6214">
        <w:rPr>
          <w:rFonts w:asciiTheme="minorHAnsi" w:hAnsiTheme="minorHAnsi" w:cstheme="minorHAnsi"/>
          <w:sz w:val="22"/>
          <w:szCs w:val="22"/>
        </w:rPr>
        <w:t>(</w:t>
      </w:r>
      <w:r w:rsidR="001C6214" w:rsidRPr="001C6214">
        <w:rPr>
          <w:rFonts w:asciiTheme="minorHAnsi" w:hAnsiTheme="minorHAnsi" w:cstheme="minorHAnsi"/>
          <w:b/>
          <w:bCs/>
          <w:sz w:val="22"/>
          <w:szCs w:val="22"/>
        </w:rPr>
        <w:t>czterech</w:t>
      </w:r>
      <w:r w:rsidR="001C6214">
        <w:rPr>
          <w:rFonts w:asciiTheme="minorHAnsi" w:hAnsiTheme="minorHAnsi" w:cstheme="minorHAnsi"/>
          <w:sz w:val="22"/>
          <w:szCs w:val="22"/>
        </w:rPr>
        <w:t xml:space="preserve">) </w:t>
      </w:r>
      <w:r w:rsidR="007E2F1D">
        <w:rPr>
          <w:rFonts w:asciiTheme="minorHAnsi" w:hAnsiTheme="minorHAnsi" w:cstheme="minorHAnsi"/>
          <w:sz w:val="22"/>
          <w:szCs w:val="22"/>
        </w:rPr>
        <w:t xml:space="preserve">etapów prac określonych w </w:t>
      </w:r>
      <w:r w:rsidR="007E2F1D" w:rsidRPr="001C6214">
        <w:rPr>
          <w:rFonts w:asciiTheme="minorHAnsi" w:hAnsiTheme="minorHAnsi" w:cstheme="minorHAnsi"/>
          <w:b/>
          <w:bCs/>
          <w:sz w:val="22"/>
          <w:szCs w:val="22"/>
        </w:rPr>
        <w:t>Załączniku nr 1 do niniejszej umowy</w:t>
      </w:r>
      <w:r w:rsidR="001C6214">
        <w:rPr>
          <w:rFonts w:asciiTheme="minorHAnsi" w:hAnsiTheme="minorHAnsi" w:cstheme="minorHAnsi"/>
          <w:sz w:val="22"/>
          <w:szCs w:val="22"/>
        </w:rPr>
        <w:t xml:space="preserve"> z tym, że:</w:t>
      </w:r>
    </w:p>
    <w:p w14:paraId="507F3331" w14:textId="250EF124" w:rsidR="00670B1F" w:rsidRDefault="001C6214" w:rsidP="00184F07">
      <w:pPr>
        <w:pStyle w:val="Default"/>
        <w:numPr>
          <w:ilvl w:val="0"/>
          <w:numId w:val="41"/>
        </w:numPr>
        <w:spacing w:line="30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 realizacji etapu 1 </w:t>
      </w:r>
      <w:r w:rsidRPr="001C6214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ma prawo wystawić fakturę na kwotę stanowiącą równowartość 15% wartości przedmiotu umowy,</w:t>
      </w:r>
    </w:p>
    <w:p w14:paraId="4BA07137" w14:textId="6ADB90F5" w:rsidR="001C6214" w:rsidRDefault="001C6214" w:rsidP="00184F07">
      <w:pPr>
        <w:pStyle w:val="Default"/>
        <w:numPr>
          <w:ilvl w:val="0"/>
          <w:numId w:val="41"/>
        </w:numPr>
        <w:spacing w:line="30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 realizacji etapu 2 </w:t>
      </w:r>
      <w:r w:rsidRPr="001C6214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ma prawo wystawić fakturę na kwotę stanowiącą równowartość 20% wartości przedmiotu umowy,</w:t>
      </w:r>
    </w:p>
    <w:p w14:paraId="4C9AD2A8" w14:textId="5CB1C684" w:rsidR="001C6214" w:rsidRDefault="001C6214" w:rsidP="00184F07">
      <w:pPr>
        <w:pStyle w:val="Default"/>
        <w:numPr>
          <w:ilvl w:val="0"/>
          <w:numId w:val="41"/>
        </w:numPr>
        <w:spacing w:line="30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 realizacji etapu 3 </w:t>
      </w:r>
      <w:r w:rsidRPr="001C6214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ma prawo wystawić fakturę na kwotę stanowiącą równowartość 25% wartości przedmiotu umowy,</w:t>
      </w:r>
    </w:p>
    <w:p w14:paraId="0E6C1365" w14:textId="570091A2" w:rsidR="001C6214" w:rsidRDefault="001C6214" w:rsidP="00184F07">
      <w:pPr>
        <w:pStyle w:val="Default"/>
        <w:numPr>
          <w:ilvl w:val="0"/>
          <w:numId w:val="41"/>
        </w:numPr>
        <w:spacing w:line="30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 realizacji etapu 4 i zarazem </w:t>
      </w:r>
      <w:r w:rsidR="00184F07">
        <w:rPr>
          <w:rFonts w:asciiTheme="minorHAnsi" w:hAnsiTheme="minorHAnsi" w:cstheme="minorHAnsi"/>
          <w:sz w:val="22"/>
          <w:szCs w:val="22"/>
        </w:rPr>
        <w:t>zakończeniu wszystkich prac przewidzianych umową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6214">
        <w:rPr>
          <w:rFonts w:asciiTheme="minorHAnsi" w:hAnsiTheme="minorHAnsi" w:cstheme="minorHAnsi"/>
          <w:b/>
          <w:bCs/>
          <w:sz w:val="22"/>
          <w:szCs w:val="22"/>
        </w:rPr>
        <w:t>Wykonawca</w:t>
      </w:r>
      <w:r>
        <w:rPr>
          <w:rFonts w:asciiTheme="minorHAnsi" w:hAnsiTheme="minorHAnsi" w:cstheme="minorHAnsi"/>
          <w:sz w:val="22"/>
          <w:szCs w:val="22"/>
        </w:rPr>
        <w:t xml:space="preserve"> ma prawo wystawić fakturę </w:t>
      </w:r>
      <w:r w:rsidR="00184F07">
        <w:rPr>
          <w:rFonts w:asciiTheme="minorHAnsi" w:hAnsiTheme="minorHAnsi" w:cstheme="minorHAnsi"/>
          <w:sz w:val="22"/>
          <w:szCs w:val="22"/>
        </w:rPr>
        <w:t xml:space="preserve">końcową </w:t>
      </w:r>
      <w:r>
        <w:rPr>
          <w:rFonts w:asciiTheme="minorHAnsi" w:hAnsiTheme="minorHAnsi" w:cstheme="minorHAnsi"/>
          <w:sz w:val="22"/>
          <w:szCs w:val="22"/>
        </w:rPr>
        <w:t xml:space="preserve">na kwotę stanowiącą równowartość </w:t>
      </w:r>
      <w:r w:rsidR="00184F07">
        <w:rPr>
          <w:rFonts w:asciiTheme="minorHAnsi" w:hAnsiTheme="minorHAnsi" w:cstheme="minorHAnsi"/>
          <w:sz w:val="22"/>
          <w:szCs w:val="22"/>
        </w:rPr>
        <w:t>40</w:t>
      </w:r>
      <w:r>
        <w:rPr>
          <w:rFonts w:asciiTheme="minorHAnsi" w:hAnsiTheme="minorHAnsi" w:cstheme="minorHAnsi"/>
          <w:sz w:val="22"/>
          <w:szCs w:val="22"/>
        </w:rPr>
        <w:t>% wartości przedmiotu umowy</w:t>
      </w:r>
      <w:r w:rsidR="00184F07">
        <w:rPr>
          <w:rFonts w:asciiTheme="minorHAnsi" w:hAnsiTheme="minorHAnsi" w:cstheme="minorHAnsi"/>
          <w:sz w:val="22"/>
          <w:szCs w:val="22"/>
        </w:rPr>
        <w:t>.</w:t>
      </w:r>
    </w:p>
    <w:p w14:paraId="1D3B3B3D" w14:textId="77777777" w:rsidR="00A92E4D" w:rsidRPr="00A92E4D" w:rsidRDefault="00A92E4D" w:rsidP="00184F07">
      <w:pPr>
        <w:pStyle w:val="Akapitzlist"/>
        <w:spacing w:after="0" w:line="300" w:lineRule="auto"/>
      </w:pPr>
    </w:p>
    <w:p w14:paraId="7FDE3DD5" w14:textId="77777777" w:rsidR="008C68FF" w:rsidRPr="00116BE8" w:rsidRDefault="008C68FF" w:rsidP="00184F07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PRAWO WŁASNOŚCI INTELEKTUALNEJ</w:t>
      </w:r>
    </w:p>
    <w:p w14:paraId="0BF7182E" w14:textId="77777777" w:rsidR="008C68FF" w:rsidRPr="000466B2" w:rsidRDefault="008C68FF" w:rsidP="00184F07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0466B2">
        <w:rPr>
          <w:rFonts w:eastAsia="Arial" w:cstheme="minorHAnsi"/>
          <w:lang w:val="he-IL"/>
        </w:rPr>
        <w:t>W ra</w:t>
      </w:r>
      <w:r>
        <w:rPr>
          <w:rFonts w:eastAsia="Arial" w:cstheme="minorHAnsi"/>
          <w:lang w:val="he-IL"/>
        </w:rPr>
        <w:t xml:space="preserve">mach wynagrodzenia określonego </w:t>
      </w:r>
      <w:r w:rsidRPr="001027D9">
        <w:rPr>
          <w:rFonts w:eastAsia="Arial" w:cstheme="minorHAnsi"/>
        </w:rPr>
        <w:t>punkcie</w:t>
      </w:r>
      <w:r w:rsidRPr="001027D9">
        <w:rPr>
          <w:rFonts w:eastAsia="Arial" w:cstheme="minorHAnsi"/>
          <w:lang w:val="he-IL"/>
        </w:rPr>
        <w:t xml:space="preserve"> </w:t>
      </w:r>
      <w:r w:rsidRPr="001027D9">
        <w:rPr>
          <w:rFonts w:eastAsia="Arial" w:cstheme="minorHAnsi"/>
        </w:rPr>
        <w:t>III.</w:t>
      </w:r>
      <w:r w:rsidRPr="001027D9">
        <w:rPr>
          <w:rFonts w:eastAsia="Arial" w:cstheme="minorHAnsi"/>
          <w:lang w:val="he-IL"/>
        </w:rPr>
        <w:t xml:space="preserve"> 1</w:t>
      </w:r>
      <w:r w:rsidRPr="001027D9">
        <w:rPr>
          <w:rFonts w:eastAsia="Arial" w:cstheme="minorHAnsi"/>
        </w:rPr>
        <w:t>)</w:t>
      </w:r>
      <w:r w:rsidRPr="001027D9">
        <w:rPr>
          <w:rFonts w:eastAsia="Arial" w:cstheme="minorHAnsi"/>
          <w:lang w:val="he-IL"/>
        </w:rPr>
        <w:t xml:space="preserve"> </w:t>
      </w:r>
      <w:r w:rsidRPr="001027D9">
        <w:rPr>
          <w:rFonts w:eastAsia="Arial" w:cstheme="minorHAnsi"/>
          <w:b/>
          <w:lang w:val="he-IL"/>
        </w:rPr>
        <w:t>Wykonawca</w:t>
      </w:r>
      <w:r w:rsidRPr="001027D9">
        <w:rPr>
          <w:rFonts w:eastAsia="Arial" w:cstheme="minorHAnsi"/>
          <w:lang w:val="he-IL"/>
        </w:rPr>
        <w:t xml:space="preserve"> przenosi na </w:t>
      </w:r>
      <w:r w:rsidRPr="001027D9">
        <w:rPr>
          <w:rFonts w:eastAsia="Arial" w:cstheme="minorHAnsi"/>
          <w:b/>
          <w:lang w:val="he-IL"/>
        </w:rPr>
        <w:t>Zamawiającego</w:t>
      </w:r>
      <w:r w:rsidRPr="001027D9">
        <w:rPr>
          <w:rFonts w:eastAsia="Arial" w:cstheme="minorHAnsi"/>
          <w:lang w:val="he-IL"/>
        </w:rPr>
        <w:t xml:space="preserve"> całość autorskich praw majątkowych do wszystkich powstałych</w:t>
      </w:r>
      <w:r w:rsidRPr="000466B2">
        <w:rPr>
          <w:rFonts w:eastAsia="Arial" w:cstheme="minorHAnsi"/>
          <w:lang w:val="he-IL"/>
        </w:rPr>
        <w:t xml:space="preserve"> w wykonaniu niniejszej umowy utworów w rozumieniu ustawy z dnia 4 lutego 1994 r. o prawach autorskich i prawach pokrewnych (t.j. Dz. U. z 2019 r., poz. 1231 z późn. zm.) wraz z prawem do wykonywania praw zależnych i z wyłącznym prawem do zezwalania na wykonywanie praw zależnych oraz z prawem do dokonywania wszelkich modyfikacji bez nadzoru autorskiego w zakresie i na polach eksploatacji szczegółowo określonych w umowie oraz z zobowiązaniem autorów do niewykonywania praw osobistych.</w:t>
      </w:r>
    </w:p>
    <w:p w14:paraId="216763AC" w14:textId="77777777" w:rsidR="008C68FF" w:rsidRPr="000466B2" w:rsidRDefault="008C68FF" w:rsidP="00184F07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0466B2">
        <w:rPr>
          <w:rFonts w:eastAsia="Arial" w:cstheme="minorHAnsi"/>
          <w:b/>
          <w:lang w:val="he-IL"/>
        </w:rPr>
        <w:t>Wykonawca</w:t>
      </w:r>
      <w:r w:rsidRPr="000466B2">
        <w:rPr>
          <w:rFonts w:eastAsia="Arial" w:cstheme="minorHAnsi"/>
          <w:lang w:val="he-IL"/>
        </w:rPr>
        <w:t xml:space="preserve"> oświadcza, że do wykonanego przedmiotu umowy określonego w </w:t>
      </w:r>
      <w:r>
        <w:rPr>
          <w:rFonts w:eastAsia="Arial" w:cstheme="minorHAnsi"/>
        </w:rPr>
        <w:t>punkcie I</w:t>
      </w:r>
      <w:r w:rsidRPr="000466B2">
        <w:rPr>
          <w:rFonts w:eastAsia="Arial" w:cstheme="minorHAnsi"/>
          <w:lang w:val="he-IL"/>
        </w:rPr>
        <w:t xml:space="preserve"> niniejszej umowy i powstałych w wykonaniu niniejszej umowy </w:t>
      </w:r>
      <w:r>
        <w:rPr>
          <w:rFonts w:eastAsia="Arial" w:cstheme="minorHAnsi"/>
        </w:rPr>
        <w:t>u</w:t>
      </w:r>
      <w:r w:rsidRPr="000466B2">
        <w:rPr>
          <w:rFonts w:eastAsia="Arial" w:cstheme="minorHAnsi"/>
          <w:lang w:val="he-IL"/>
        </w:rPr>
        <w:t xml:space="preserve">tworów będą mu przysługiwać w całości autorskie prawa majątkowe oraz że nikt nie będzie zgłaszał roszczeń ani zastrzeżeń w tym zakresie, ani w zakresie ich przeniesienia na </w:t>
      </w:r>
      <w:r w:rsidRPr="000466B2">
        <w:rPr>
          <w:rFonts w:eastAsia="Arial" w:cstheme="minorHAnsi"/>
          <w:b/>
          <w:lang w:val="he-IL"/>
        </w:rPr>
        <w:t>Zamawiającego</w:t>
      </w:r>
      <w:r w:rsidRPr="000466B2">
        <w:rPr>
          <w:rFonts w:eastAsia="Arial" w:cstheme="minorHAnsi"/>
          <w:lang w:val="he-IL"/>
        </w:rPr>
        <w:t>.</w:t>
      </w:r>
    </w:p>
    <w:p w14:paraId="5082E6E2" w14:textId="77777777" w:rsidR="0081413D" w:rsidRPr="0081413D" w:rsidRDefault="008C68FF" w:rsidP="00184F07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0466B2">
        <w:rPr>
          <w:rFonts w:eastAsia="Arial" w:cstheme="minorHAnsi"/>
          <w:b/>
        </w:rPr>
        <w:t>Wykonawca</w:t>
      </w:r>
      <w:r w:rsidRPr="000466B2">
        <w:rPr>
          <w:rFonts w:eastAsia="Arial" w:cstheme="minorHAnsi"/>
        </w:rPr>
        <w:t xml:space="preserve"> odpowiada za ewentualne naruszenie praw własności intelektualnej, dóbr osobistych lub danych osobowych oraz innych dóbr niematerialnych osób trzecich związane z wykorzystaniem </w:t>
      </w:r>
      <w:r>
        <w:rPr>
          <w:rFonts w:eastAsia="Arial" w:cstheme="minorHAnsi"/>
        </w:rPr>
        <w:t>u</w:t>
      </w:r>
      <w:r w:rsidRPr="000466B2">
        <w:rPr>
          <w:rFonts w:eastAsia="Arial" w:cstheme="minorHAnsi"/>
        </w:rPr>
        <w:t xml:space="preserve">tworów przez </w:t>
      </w:r>
      <w:r w:rsidRPr="000466B2">
        <w:rPr>
          <w:rFonts w:eastAsia="Arial" w:cstheme="minorHAnsi"/>
          <w:b/>
        </w:rPr>
        <w:t>Zamawiającego</w:t>
      </w:r>
      <w:r w:rsidRPr="000466B2">
        <w:rPr>
          <w:rFonts w:eastAsia="Arial" w:cstheme="minorHAnsi"/>
        </w:rPr>
        <w:t xml:space="preserve"> w wykonaniu niniejszej umowy i w przypadku sporów lub podniesienia roszczeń w tym zakresie zobowiązuje się zwolnić </w:t>
      </w:r>
      <w:r w:rsidRPr="000466B2">
        <w:rPr>
          <w:rFonts w:eastAsia="Arial" w:cstheme="minorHAnsi"/>
          <w:b/>
        </w:rPr>
        <w:t>Zamawiającego</w:t>
      </w:r>
      <w:r w:rsidRPr="000466B2">
        <w:rPr>
          <w:rFonts w:eastAsia="Arial" w:cstheme="minorHAnsi"/>
        </w:rPr>
        <w:t xml:space="preserve"> z odpowiedzialności, w szczególności zastępując </w:t>
      </w:r>
      <w:r w:rsidRPr="000466B2">
        <w:rPr>
          <w:rFonts w:eastAsia="Arial" w:cstheme="minorHAnsi"/>
          <w:b/>
        </w:rPr>
        <w:t>Zamawiającego</w:t>
      </w:r>
      <w:r w:rsidRPr="000466B2">
        <w:rPr>
          <w:rFonts w:eastAsia="Arial" w:cstheme="minorHAnsi"/>
        </w:rPr>
        <w:t xml:space="preserve"> w postępowaniach sądowych lub arbitrażowych bądź występując obok niego (o ile będzie to obiektywnie możliwe i w zależności od swobodnego uznania </w:t>
      </w:r>
      <w:r w:rsidRPr="000466B2">
        <w:rPr>
          <w:rFonts w:eastAsia="Arial" w:cstheme="minorHAnsi"/>
          <w:b/>
        </w:rPr>
        <w:t>Zamawiającego</w:t>
      </w:r>
      <w:r w:rsidRPr="000466B2">
        <w:rPr>
          <w:rFonts w:eastAsia="Arial" w:cstheme="minorHAnsi"/>
        </w:rPr>
        <w:t xml:space="preserve">), a także dokona na rzecz </w:t>
      </w:r>
      <w:r w:rsidRPr="000466B2">
        <w:rPr>
          <w:rFonts w:eastAsia="Arial" w:cstheme="minorHAnsi"/>
          <w:b/>
        </w:rPr>
        <w:t>Zamawiającego</w:t>
      </w:r>
      <w:r w:rsidRPr="000466B2">
        <w:rPr>
          <w:rFonts w:eastAsia="Arial" w:cstheme="minorHAnsi"/>
        </w:rPr>
        <w:t xml:space="preserve"> zwrotu na jego pierwsze pisemne żądanie wszelkich łączących się z tym kosztów, w tym kosztów obsługi prawnej.</w:t>
      </w:r>
    </w:p>
    <w:p w14:paraId="674A5C21" w14:textId="60AE2BCA" w:rsidR="00623B5B" w:rsidRPr="0081413D" w:rsidRDefault="0081413D" w:rsidP="00184F07">
      <w:pPr>
        <w:pStyle w:val="Akapitzlist"/>
        <w:widowControl w:val="0"/>
        <w:numPr>
          <w:ilvl w:val="0"/>
          <w:numId w:val="3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</w:rPr>
        <w:t>W</w:t>
      </w:r>
      <w:r w:rsidR="008C68FF" w:rsidRPr="0081413D">
        <w:rPr>
          <w:rFonts w:eastAsia="Arial" w:cstheme="minorHAnsi"/>
          <w:lang w:val="he-IL"/>
        </w:rPr>
        <w:t xml:space="preserve"> celu rozwiania wszelkich wątpliwości Strony postanawiają, że przedmiot umowy (w tym wyniki testów</w:t>
      </w:r>
      <w:r w:rsidR="008C68FF" w:rsidRPr="0081413D">
        <w:rPr>
          <w:rFonts w:eastAsia="Arial" w:cstheme="minorHAnsi"/>
        </w:rPr>
        <w:t xml:space="preserve"> i badań), jak i wszelkie związane z nim prawa własności intelektualnej stanowią własność </w:t>
      </w:r>
      <w:r w:rsidR="008C68FF" w:rsidRPr="0081413D">
        <w:rPr>
          <w:rFonts w:eastAsia="Arial" w:cstheme="minorHAnsi"/>
          <w:b/>
        </w:rPr>
        <w:t>Zamawiającego</w:t>
      </w:r>
      <w:r w:rsidR="008C68FF" w:rsidRPr="0081413D">
        <w:rPr>
          <w:rFonts w:eastAsia="Arial" w:cstheme="minorHAnsi"/>
        </w:rPr>
        <w:t xml:space="preserve"> i będzie on mógł dowolnie nimi dysponować.</w:t>
      </w:r>
    </w:p>
    <w:p w14:paraId="2ABD4AA3" w14:textId="77777777" w:rsidR="00C90B9A" w:rsidRPr="00116BE8" w:rsidRDefault="00C90B9A" w:rsidP="00184F07">
      <w:pPr>
        <w:pStyle w:val="Akapitzlist"/>
        <w:spacing w:after="0" w:line="300" w:lineRule="auto"/>
        <w:ind w:left="284"/>
        <w:jc w:val="both"/>
        <w:rPr>
          <w:b/>
        </w:rPr>
      </w:pPr>
    </w:p>
    <w:p w14:paraId="3AE5113A" w14:textId="77777777" w:rsidR="00623B5B" w:rsidRPr="00116BE8" w:rsidRDefault="00623B5B" w:rsidP="00184F07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KARY UMOWNE</w:t>
      </w:r>
    </w:p>
    <w:p w14:paraId="3D34D5D8" w14:textId="77777777" w:rsidR="008C68FF" w:rsidRPr="00D95DBD" w:rsidRDefault="008C68FF" w:rsidP="00184F07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 xml:space="preserve">Strony ponoszą odpowiedzialność z tytułu niewykonania lub nienależytego wykonania przedmiotu </w:t>
      </w:r>
      <w:r w:rsidRPr="00FE051C">
        <w:rPr>
          <w:rFonts w:eastAsia="Arial" w:cstheme="minorHAnsi"/>
          <w:lang w:val="he-IL"/>
        </w:rPr>
        <w:lastRenderedPageBreak/>
        <w:t>umowy na warunkach w niej określonych.</w:t>
      </w:r>
    </w:p>
    <w:p w14:paraId="2EFC8740" w14:textId="77777777" w:rsidR="008C68FF" w:rsidRPr="00FE051C" w:rsidRDefault="008C68FF" w:rsidP="00184F07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D95DBD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ma prawo do odstąpienia od umowy w przypadku, gdy </w:t>
      </w:r>
      <w:r>
        <w:rPr>
          <w:rFonts w:eastAsia="Arial" w:cstheme="minorHAnsi"/>
          <w:b/>
        </w:rPr>
        <w:t>Wykonawca</w:t>
      </w:r>
      <w:r>
        <w:rPr>
          <w:rFonts w:eastAsia="Arial" w:cstheme="minorHAnsi"/>
        </w:rPr>
        <w:t xml:space="preserve"> pozostaje w opóźnieniu z wykonaniem przedmiotu umowy o więcej niż 40 dni licząc od terminu określonego</w:t>
      </w:r>
      <w:r w:rsidRPr="00FE051C">
        <w:rPr>
          <w:rFonts w:eastAsia="Arial" w:cstheme="minorHAnsi"/>
        </w:rPr>
        <w:t xml:space="preserve"> w punkcie II.</w:t>
      </w:r>
      <w:r>
        <w:rPr>
          <w:rFonts w:eastAsia="Arial" w:cstheme="minorHAnsi"/>
        </w:rPr>
        <w:t xml:space="preserve"> </w:t>
      </w:r>
      <w:r w:rsidRPr="00FE051C">
        <w:rPr>
          <w:rFonts w:eastAsia="Arial" w:cstheme="minorHAnsi"/>
        </w:rPr>
        <w:t>1)</w:t>
      </w:r>
      <w:r>
        <w:rPr>
          <w:rFonts w:eastAsia="Arial" w:cstheme="minorHAnsi"/>
        </w:rPr>
        <w:t xml:space="preserve"> w terminie 7 dni od dnia wystąpienia przyczyny odstąpienia. </w:t>
      </w:r>
    </w:p>
    <w:p w14:paraId="28DD7C8A" w14:textId="77777777" w:rsidR="008C68FF" w:rsidRPr="00FE051C" w:rsidRDefault="008C68FF" w:rsidP="00184F07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  <w:b/>
        </w:rPr>
        <w:t>Wykonawca</w:t>
      </w:r>
      <w:r w:rsidRPr="00FE051C">
        <w:rPr>
          <w:rFonts w:eastAsia="Arial" w:cstheme="minorHAnsi"/>
          <w:lang w:val="he-IL"/>
        </w:rPr>
        <w:t xml:space="preserve"> zapłaci </w:t>
      </w:r>
      <w:r w:rsidRPr="00FE051C">
        <w:rPr>
          <w:rFonts w:eastAsia="Arial" w:cstheme="minorHAnsi"/>
          <w:b/>
          <w:lang w:val="he-IL"/>
        </w:rPr>
        <w:t>Zamawiającemu</w:t>
      </w:r>
      <w:r w:rsidRPr="00FE051C">
        <w:rPr>
          <w:rFonts w:eastAsia="Arial" w:cstheme="minorHAnsi"/>
          <w:lang w:val="he-IL"/>
        </w:rPr>
        <w:t xml:space="preserve"> następujące kary umowne: </w:t>
      </w:r>
    </w:p>
    <w:p w14:paraId="53FF8F40" w14:textId="77777777" w:rsidR="008C68FF" w:rsidRPr="00FE051C" w:rsidRDefault="008C68FF" w:rsidP="00184F07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w przypadku odstąpienia od umowy</w:t>
      </w:r>
      <w:r w:rsidRPr="00FE051C">
        <w:rPr>
          <w:rFonts w:eastAsia="Arial" w:cstheme="minorHAnsi"/>
        </w:rPr>
        <w:t xml:space="preserve"> przez którąkolwiek ze stron </w:t>
      </w:r>
      <w:r w:rsidRPr="00FE051C">
        <w:rPr>
          <w:rFonts w:eastAsia="Arial" w:cstheme="minorHAnsi"/>
          <w:lang w:val="he-IL"/>
        </w:rPr>
        <w:t>z przyczyn, za kt</w:t>
      </w:r>
      <w:r w:rsidRPr="00FE051C">
        <w:rPr>
          <w:rFonts w:eastAsia="Arial" w:cstheme="minorHAnsi"/>
        </w:rPr>
        <w:t>ó</w:t>
      </w:r>
      <w:r w:rsidRPr="00FE051C">
        <w:rPr>
          <w:rFonts w:eastAsia="Arial" w:cstheme="minorHAnsi"/>
          <w:lang w:val="he-IL"/>
        </w:rPr>
        <w:t xml:space="preserve">re ponosi odpowiedzialność </w:t>
      </w:r>
      <w:r>
        <w:rPr>
          <w:rFonts w:eastAsia="Arial" w:cstheme="minorHAnsi"/>
          <w:b/>
        </w:rPr>
        <w:t>Wykonawca</w:t>
      </w:r>
      <w:r w:rsidRPr="00FE051C">
        <w:rPr>
          <w:rFonts w:eastAsia="Arial" w:cstheme="minorHAnsi"/>
        </w:rPr>
        <w:t>,</w:t>
      </w:r>
      <w:r w:rsidRPr="00FE051C">
        <w:rPr>
          <w:rFonts w:eastAsia="Arial" w:cstheme="minorHAnsi"/>
          <w:lang w:val="he-IL"/>
        </w:rPr>
        <w:t xml:space="preserve"> </w:t>
      </w:r>
      <w:r>
        <w:rPr>
          <w:rFonts w:eastAsia="Arial" w:cstheme="minorHAnsi"/>
        </w:rPr>
        <w:t>1</w:t>
      </w:r>
      <w:r w:rsidRPr="00FE051C">
        <w:rPr>
          <w:rFonts w:eastAsia="Arial" w:cstheme="minorHAnsi"/>
        </w:rPr>
        <w:t>0</w:t>
      </w:r>
      <w:r w:rsidRPr="00FE051C">
        <w:rPr>
          <w:rFonts w:eastAsia="Arial" w:cstheme="minorHAnsi"/>
          <w:lang w:val="he-IL"/>
        </w:rPr>
        <w:t>% wartości</w:t>
      </w:r>
      <w:r w:rsidRPr="00FE051C">
        <w:rPr>
          <w:rFonts w:eastAsia="Arial" w:cstheme="minorHAnsi"/>
        </w:rPr>
        <w:t xml:space="preserve"> netto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ce</w:t>
      </w:r>
      <w:r>
        <w:rPr>
          <w:rFonts w:eastAsia="Arial" w:cstheme="minorHAnsi"/>
        </w:rPr>
        <w:t>ny określonej w punkcie III. 1).</w:t>
      </w:r>
    </w:p>
    <w:p w14:paraId="0E277148" w14:textId="77777777" w:rsidR="008C68FF" w:rsidRPr="00FE051C" w:rsidRDefault="008C68FF" w:rsidP="00184F07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za nieterminow</w:t>
      </w:r>
      <w:r>
        <w:rPr>
          <w:rFonts w:eastAsia="Arial" w:cstheme="minorHAnsi"/>
        </w:rPr>
        <w:t>ą realizację przedmiotu umowy</w:t>
      </w:r>
      <w:r w:rsidRPr="00FE051C">
        <w:rPr>
          <w:rFonts w:eastAsia="Arial" w:cstheme="minorHAnsi"/>
          <w:lang w:val="he-IL"/>
        </w:rPr>
        <w:t xml:space="preserve"> 0,</w:t>
      </w:r>
      <w:r>
        <w:rPr>
          <w:rFonts w:eastAsia="Arial" w:cstheme="minorHAnsi"/>
        </w:rPr>
        <w:t>2</w:t>
      </w:r>
      <w:r w:rsidRPr="00FE051C">
        <w:rPr>
          <w:rFonts w:eastAsia="Arial" w:cstheme="minorHAnsi"/>
        </w:rPr>
        <w:t>5</w:t>
      </w:r>
      <w:r w:rsidRPr="00FE051C">
        <w:rPr>
          <w:rFonts w:eastAsia="Arial" w:cstheme="minorHAnsi"/>
          <w:lang w:val="he-IL"/>
        </w:rPr>
        <w:t xml:space="preserve">% wartości </w:t>
      </w:r>
      <w:r w:rsidRPr="00FE051C">
        <w:rPr>
          <w:rFonts w:eastAsia="Arial" w:cstheme="minorHAnsi"/>
        </w:rPr>
        <w:t>ceny określonej w punkcie III. 1)</w:t>
      </w:r>
      <w:r>
        <w:rPr>
          <w:rFonts w:eastAsia="Arial" w:cstheme="minorHAnsi"/>
        </w:rPr>
        <w:t xml:space="preserve"> </w:t>
      </w:r>
      <w:r w:rsidRPr="00FE051C">
        <w:rPr>
          <w:rFonts w:eastAsia="Arial" w:cstheme="minorHAnsi"/>
          <w:lang w:val="he-IL"/>
        </w:rPr>
        <w:t xml:space="preserve">za każdy dzień </w:t>
      </w:r>
      <w:r w:rsidRPr="00FE051C">
        <w:rPr>
          <w:rFonts w:eastAsia="Arial" w:cstheme="minorHAnsi"/>
        </w:rPr>
        <w:t>opóźnienia</w:t>
      </w:r>
      <w:r w:rsidRPr="00FE051C">
        <w:rPr>
          <w:rFonts w:eastAsia="Arial" w:cstheme="minorHAnsi"/>
          <w:lang w:val="he-IL"/>
        </w:rPr>
        <w:t xml:space="preserve"> w stosunku do terminu,</w:t>
      </w:r>
      <w:r w:rsidRPr="00FE051C">
        <w:rPr>
          <w:rFonts w:eastAsia="Arial" w:cstheme="minorHAnsi"/>
        </w:rPr>
        <w:t xml:space="preserve"> określonego w punkcie II.1).</w:t>
      </w:r>
    </w:p>
    <w:p w14:paraId="1A318145" w14:textId="77777777" w:rsidR="008C68FF" w:rsidRPr="00FE051C" w:rsidRDefault="008C68FF" w:rsidP="00184F07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</w:rPr>
        <w:t>Zamawiający</w:t>
      </w:r>
      <w:r w:rsidRPr="00FE051C">
        <w:rPr>
          <w:rFonts w:eastAsia="Arial" w:cstheme="minorHAnsi"/>
          <w:lang w:val="he-IL"/>
        </w:rPr>
        <w:t xml:space="preserve"> zastrzega sobie prawo do odszkodowania uzupełniającego przekraczającego kary umowne do wysokości rzeczywiście poniesionych strat. </w:t>
      </w:r>
    </w:p>
    <w:p w14:paraId="7838EAB0" w14:textId="77777777" w:rsidR="008C68FF" w:rsidRPr="00FE051C" w:rsidRDefault="008C68FF" w:rsidP="00184F07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 xml:space="preserve">Należności z tytułu kar umownych i odszkodowań będą płacone przez </w:t>
      </w:r>
      <w:r>
        <w:rPr>
          <w:rFonts w:eastAsia="Arial" w:cstheme="minorHAnsi"/>
          <w:b/>
        </w:rPr>
        <w:t>Wykonawcę</w:t>
      </w:r>
      <w:r w:rsidRPr="00FE051C">
        <w:rPr>
          <w:rFonts w:eastAsia="Arial" w:cstheme="minorHAnsi"/>
          <w:lang w:val="he-IL"/>
        </w:rPr>
        <w:t xml:space="preserve"> w terminie </w:t>
      </w:r>
      <w:r w:rsidRPr="00FE051C">
        <w:rPr>
          <w:rFonts w:eastAsia="Arial" w:cstheme="minorHAnsi"/>
        </w:rPr>
        <w:t>14</w:t>
      </w:r>
      <w:r w:rsidRPr="00FE051C">
        <w:rPr>
          <w:rFonts w:eastAsia="Arial" w:cstheme="minorHAnsi"/>
          <w:lang w:val="he-IL"/>
        </w:rPr>
        <w:t xml:space="preserve"> dni od dnia otrzymania stosownej noty księgowej wystawionej przez </w:t>
      </w:r>
      <w:r w:rsidRPr="00FE051C">
        <w:rPr>
          <w:rFonts w:eastAsia="Arial" w:cstheme="minorHAnsi"/>
          <w:b/>
          <w:lang w:val="he-IL"/>
        </w:rPr>
        <w:t>Zamawiającego</w:t>
      </w:r>
      <w:r w:rsidRPr="00FE051C">
        <w:rPr>
          <w:rFonts w:eastAsia="Arial" w:cstheme="minorHAnsi"/>
          <w:lang w:val="he-IL"/>
        </w:rPr>
        <w:t>.</w:t>
      </w:r>
    </w:p>
    <w:p w14:paraId="425D3DC3" w14:textId="3A904BBD" w:rsidR="007014FD" w:rsidRPr="00FE051C" w:rsidRDefault="008C68FF" w:rsidP="00184F07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  <w:lang w:eastAsia="he-IL" w:bidi="he-IL"/>
        </w:rPr>
        <w:t>Zamawiający</w:t>
      </w:r>
      <w:r w:rsidRPr="00FE051C">
        <w:rPr>
          <w:rFonts w:eastAsia="Arial" w:cstheme="minorHAnsi"/>
          <w:lang w:eastAsia="he-IL" w:bidi="he-IL"/>
        </w:rPr>
        <w:t xml:space="preserve"> zapłaci </w:t>
      </w:r>
      <w:r>
        <w:rPr>
          <w:rFonts w:eastAsia="Arial" w:cstheme="minorHAnsi"/>
          <w:b/>
          <w:lang w:eastAsia="he-IL" w:bidi="he-IL"/>
        </w:rPr>
        <w:t>Wykonawcy</w:t>
      </w:r>
      <w:r w:rsidRPr="00FE051C">
        <w:rPr>
          <w:rFonts w:eastAsia="Arial" w:cstheme="minorHAnsi"/>
          <w:lang w:eastAsia="he-IL" w:bidi="he-IL"/>
        </w:rPr>
        <w:t xml:space="preserve"> odsetki w wysokości ustawowej, za każdy dzień opóźnienia w regulowaniu należ</w:t>
      </w:r>
      <w:r>
        <w:rPr>
          <w:rFonts w:eastAsia="Arial" w:cstheme="minorHAnsi"/>
          <w:lang w:eastAsia="he-IL" w:bidi="he-IL"/>
        </w:rPr>
        <w:t>ności określonych w niniejszej u</w:t>
      </w:r>
      <w:r w:rsidRPr="00FE051C">
        <w:rPr>
          <w:rFonts w:eastAsia="Arial" w:cstheme="minorHAnsi"/>
          <w:lang w:eastAsia="he-IL" w:bidi="he-IL"/>
        </w:rPr>
        <w:t>mowie</w:t>
      </w:r>
      <w:r w:rsidR="00623B5B" w:rsidRPr="00FE051C">
        <w:rPr>
          <w:rFonts w:eastAsia="Arial" w:cstheme="minorHAnsi"/>
          <w:lang w:eastAsia="he-IL" w:bidi="he-IL"/>
        </w:rPr>
        <w:t>.</w:t>
      </w:r>
    </w:p>
    <w:p w14:paraId="0E173B28" w14:textId="77777777" w:rsidR="00361E3B" w:rsidRPr="00361E3B" w:rsidRDefault="00361E3B" w:rsidP="00184F07">
      <w:pPr>
        <w:tabs>
          <w:tab w:val="left" w:pos="284"/>
        </w:tabs>
        <w:spacing w:after="0" w:line="300" w:lineRule="auto"/>
        <w:jc w:val="both"/>
        <w:rPr>
          <w:rFonts w:cstheme="minorHAnsi"/>
        </w:rPr>
      </w:pPr>
    </w:p>
    <w:p w14:paraId="2C4534CA" w14:textId="77777777" w:rsidR="00151393" w:rsidRPr="00116BE8" w:rsidRDefault="00FE051C" w:rsidP="00184F07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POSTANOWIENIA KOŃCOWE</w:t>
      </w:r>
    </w:p>
    <w:p w14:paraId="03A58747" w14:textId="77777777" w:rsidR="008C68FF" w:rsidRPr="002D7682" w:rsidRDefault="008C68FF" w:rsidP="00184F07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>W sprawach nieuregulowanych niniejszą umową mają zastosowanie przepisy Kodeksu Cywilnego.</w:t>
      </w:r>
      <w:r w:rsidRPr="002D7682">
        <w:rPr>
          <w:rFonts w:eastAsia="Arial" w:cstheme="minorHAnsi"/>
        </w:rPr>
        <w:t xml:space="preserve"> </w:t>
      </w:r>
    </w:p>
    <w:p w14:paraId="0043686B" w14:textId="77777777" w:rsidR="008C68FF" w:rsidRPr="002D7682" w:rsidRDefault="008C68FF" w:rsidP="00184F07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doręczenia związane z niniejszą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mową będą dokonywane na adresy Stron podane w</w:t>
      </w:r>
      <w:r>
        <w:rPr>
          <w:rFonts w:eastAsia="Arial" w:cstheme="minorHAnsi"/>
        </w:rPr>
        <w:t xml:space="preserve"> umowie</w:t>
      </w:r>
      <w:r w:rsidRPr="002D7682">
        <w:rPr>
          <w:rFonts w:eastAsia="Arial" w:cstheme="minorHAnsi"/>
        </w:rPr>
        <w:t xml:space="preserve">, w szczególności doręczenia faktur VAT wystawionych na podstawie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 xml:space="preserve">mowy, przesyłką kurierską , listem poleconym lub dostarczone osobiście. </w:t>
      </w:r>
    </w:p>
    <w:p w14:paraId="35097822" w14:textId="77777777" w:rsidR="008C68FF" w:rsidRPr="002D7682" w:rsidRDefault="008C68FF" w:rsidP="00184F07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Times New Roman" w:cstheme="minorHAnsi"/>
        </w:rPr>
        <w:t xml:space="preserve">Zakazuje się cesji wierzytelności wynikającej z niniejszej umowy bez uprzedniej zgody </w:t>
      </w:r>
      <w:r w:rsidRPr="002D7682">
        <w:rPr>
          <w:rFonts w:eastAsia="Times New Roman" w:cstheme="minorHAnsi"/>
          <w:b/>
        </w:rPr>
        <w:t>Zamawiającego</w:t>
      </w:r>
      <w:r w:rsidRPr="002D7682">
        <w:rPr>
          <w:rFonts w:eastAsia="Times New Roman" w:cstheme="minorHAnsi"/>
        </w:rPr>
        <w:t xml:space="preserve"> wyrażonej pod rygorem nieważności w formie pisemnej.</w:t>
      </w:r>
    </w:p>
    <w:p w14:paraId="47529116" w14:textId="77777777" w:rsidR="008C68FF" w:rsidRPr="002D7682" w:rsidRDefault="008C68FF" w:rsidP="00184F07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Reprezentanci Stron w ramach czynności związanych z realizacją niniejszej Umowy. </w:t>
      </w:r>
    </w:p>
    <w:p w14:paraId="4594CDF6" w14:textId="77777777" w:rsidR="008C68FF" w:rsidRPr="002D7682" w:rsidRDefault="008C68FF" w:rsidP="00184F07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>
        <w:rPr>
          <w:rFonts w:eastAsia="Arial" w:cstheme="minorHAnsi"/>
          <w:b/>
        </w:rPr>
        <w:t>Wykonawca</w:t>
      </w:r>
      <w:r w:rsidRPr="002D7682">
        <w:rPr>
          <w:rFonts w:eastAsia="Arial" w:cstheme="minorHAnsi"/>
        </w:rPr>
        <w:t xml:space="preserve"> wskazuje jako osobę upoważnioną do reprezentowania </w:t>
      </w:r>
      <w:r>
        <w:rPr>
          <w:rFonts w:eastAsia="Arial" w:cstheme="minorHAnsi"/>
          <w:b/>
        </w:rPr>
        <w:t>Wykonawcy</w:t>
      </w:r>
      <w:r w:rsidRPr="002D7682">
        <w:rPr>
          <w:rFonts w:eastAsia="Arial" w:cstheme="minorHAnsi"/>
        </w:rPr>
        <w:t xml:space="preserve"> we wszelkich czynnościach związanych z realizacją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………………………..</w:t>
      </w:r>
      <w:r>
        <w:rPr>
          <w:rFonts w:eastAsia="Arial" w:cstheme="minorHAnsi"/>
        </w:rPr>
        <w:t xml:space="preserve">, </w:t>
      </w:r>
      <w:r w:rsidRPr="002D7682">
        <w:rPr>
          <w:rFonts w:eastAsia="Arial" w:cstheme="minorHAnsi"/>
        </w:rPr>
        <w:t xml:space="preserve">e-mail </w:t>
      </w:r>
      <w:r>
        <w:rPr>
          <w:rFonts w:eastAsia="Arial" w:cstheme="minorHAnsi"/>
          <w:b/>
        </w:rPr>
        <w:t>………………………….</w:t>
      </w:r>
      <w:r>
        <w:rPr>
          <w:rFonts w:eastAsia="Arial" w:cstheme="minorHAnsi"/>
        </w:rPr>
        <w:t xml:space="preserve"> 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</w:t>
      </w:r>
      <w:r w:rsidRPr="002D7682">
        <w:rPr>
          <w:rFonts w:eastAsia="Arial" w:cstheme="minorHAnsi"/>
        </w:rPr>
        <w:t>.</w:t>
      </w:r>
    </w:p>
    <w:p w14:paraId="78AE2F74" w14:textId="77777777" w:rsidR="008C68FF" w:rsidRDefault="008C68FF" w:rsidP="00184F07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2D7682">
        <w:rPr>
          <w:rFonts w:eastAsia="Arial" w:cstheme="minorHAnsi"/>
          <w:b/>
        </w:rPr>
        <w:t>Zamawiający</w:t>
      </w:r>
      <w:r w:rsidRPr="002D7682">
        <w:rPr>
          <w:rFonts w:eastAsia="Arial" w:cstheme="minorHAnsi"/>
        </w:rPr>
        <w:t xml:space="preserve"> wskazuje jako osobę upoważnioną do reprezentowania </w:t>
      </w:r>
      <w:r w:rsidRPr="002D7682">
        <w:rPr>
          <w:rFonts w:eastAsia="Arial" w:cstheme="minorHAnsi"/>
          <w:b/>
        </w:rPr>
        <w:t>Zamawiającego</w:t>
      </w:r>
      <w:r w:rsidRPr="002D7682">
        <w:rPr>
          <w:rFonts w:eastAsia="Arial" w:cstheme="minorHAnsi"/>
        </w:rPr>
        <w:t xml:space="preserve"> we wszelkich czynnościach związanych z realizacją niniejszej umowy 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………………………..</w:t>
      </w:r>
      <w:r w:rsidRPr="002D7682">
        <w:rPr>
          <w:rFonts w:eastAsia="Arial" w:cstheme="minorHAnsi"/>
        </w:rPr>
        <w:t xml:space="preserve">, e-mail </w:t>
      </w:r>
      <w:r>
        <w:rPr>
          <w:rFonts w:eastAsia="Arial" w:cstheme="minorHAnsi"/>
          <w:b/>
        </w:rPr>
        <w:t>…………………………..</w:t>
      </w:r>
      <w:r>
        <w:rPr>
          <w:rFonts w:eastAsia="Arial" w:cstheme="minorHAnsi"/>
        </w:rPr>
        <w:t xml:space="preserve"> 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………………………………</w:t>
      </w:r>
      <w:r w:rsidRPr="002D7682">
        <w:rPr>
          <w:rFonts w:eastAsia="Arial" w:cstheme="minorHAnsi"/>
        </w:rPr>
        <w:t>.</w:t>
      </w:r>
    </w:p>
    <w:p w14:paraId="4D5F7438" w14:textId="77777777" w:rsidR="008C68FF" w:rsidRDefault="008C68FF" w:rsidP="00184F07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>Strony zobowiązują się informować wzajemnie o każdorazowej zmianie adresu do doręczeń pod rygorem uznania doręczenia na ostatnio znany adres za skuteczne.</w:t>
      </w:r>
    </w:p>
    <w:p w14:paraId="61FA6494" w14:textId="77777777" w:rsidR="008C68FF" w:rsidRDefault="008C68FF" w:rsidP="00184F07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 xml:space="preserve">Umowę sporządzono w </w:t>
      </w:r>
      <w:r>
        <w:rPr>
          <w:rFonts w:eastAsia="Arial" w:cstheme="minorHAnsi"/>
        </w:rPr>
        <w:t>dwóch</w:t>
      </w:r>
      <w:r w:rsidRPr="002D7682">
        <w:rPr>
          <w:rFonts w:eastAsia="Arial" w:cstheme="minorHAnsi"/>
          <w:lang w:val="he-IL"/>
        </w:rPr>
        <w:t xml:space="preserve"> jednobrzmiących egzemplarzach, </w:t>
      </w:r>
      <w:r>
        <w:rPr>
          <w:rFonts w:eastAsia="Arial" w:cstheme="minorHAnsi"/>
        </w:rPr>
        <w:t>po jednym dla każdej ze stron.</w:t>
      </w:r>
    </w:p>
    <w:p w14:paraId="6BCE4050" w14:textId="5DF1729B" w:rsidR="002D7682" w:rsidRDefault="008C68FF" w:rsidP="00184F07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zmiany i uzupełnienia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oraz załączniki dla swej ważności wymagają formy pisemnej</w:t>
      </w:r>
      <w:r w:rsidR="002D7682" w:rsidRPr="002D7682">
        <w:rPr>
          <w:rFonts w:eastAsia="Arial" w:cstheme="minorHAnsi"/>
        </w:rPr>
        <w:t>.</w:t>
      </w:r>
    </w:p>
    <w:p w14:paraId="62863133" w14:textId="77777777" w:rsidR="002D7682" w:rsidRDefault="002D7682" w:rsidP="00184F07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511A6058" w14:textId="77777777" w:rsidR="0019594B" w:rsidRDefault="0019594B" w:rsidP="002D7682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1B43F111" w14:textId="015EB466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 xml:space="preserve">ZAMAWIAJĄCY                                                     </w:t>
      </w:r>
      <w:r w:rsidR="008C68FF">
        <w:rPr>
          <w:rFonts w:eastAsia="Tahoma" w:cs="Times New Roman"/>
          <w:b/>
          <w:sz w:val="28"/>
          <w:szCs w:val="28"/>
        </w:rPr>
        <w:t>WYKONAWCA</w:t>
      </w:r>
    </w:p>
    <w:p w14:paraId="1883DD4A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4BDE174" w14:textId="6CD94666" w:rsidR="00623B5B" w:rsidRDefault="00623B5B" w:rsidP="00623B5B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lastRenderedPageBreak/>
        <w:t xml:space="preserve">Załącznik nr 1 </w:t>
      </w:r>
      <w:r w:rsidRPr="001D6F88">
        <w:rPr>
          <w:rFonts w:eastAsia="Tahoma" w:cs="Times New Roman"/>
          <w:b/>
          <w:sz w:val="28"/>
          <w:szCs w:val="28"/>
        </w:rPr>
        <w:t xml:space="preserve">do </w:t>
      </w:r>
      <w:r>
        <w:rPr>
          <w:rFonts w:eastAsia="Tahoma" w:cs="Times New Roman"/>
          <w:b/>
          <w:sz w:val="28"/>
          <w:szCs w:val="28"/>
        </w:rPr>
        <w:t xml:space="preserve">umowy </w:t>
      </w:r>
      <w:r w:rsidRPr="001D6F88">
        <w:rPr>
          <w:rFonts w:cs="Arial"/>
          <w:b/>
          <w:sz w:val="28"/>
          <w:szCs w:val="28"/>
        </w:rPr>
        <w:t xml:space="preserve">nr </w:t>
      </w:r>
      <w:r w:rsidR="007E2F1D" w:rsidRPr="003958A1">
        <w:rPr>
          <w:rFonts w:cs="Arial"/>
          <w:b/>
          <w:sz w:val="28"/>
          <w:szCs w:val="28"/>
        </w:rPr>
        <w:t>LAB/FEWM.01.02-02/2024/</w:t>
      </w:r>
      <w:r w:rsidR="007E2F1D">
        <w:rPr>
          <w:rFonts w:cs="Arial"/>
          <w:b/>
          <w:sz w:val="28"/>
          <w:szCs w:val="28"/>
        </w:rPr>
        <w:t>1</w:t>
      </w:r>
      <w:r w:rsidR="007E2F1D" w:rsidRPr="003958A1">
        <w:rPr>
          <w:rFonts w:cs="Arial"/>
          <w:b/>
          <w:sz w:val="28"/>
          <w:szCs w:val="28"/>
        </w:rPr>
        <w:t>.1</w:t>
      </w:r>
    </w:p>
    <w:p w14:paraId="337F26FD" w14:textId="77777777" w:rsidR="00623B5B" w:rsidRDefault="00623B5B" w:rsidP="00623B5B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0077787" w14:textId="51984312" w:rsidR="00623B5B" w:rsidRDefault="008C68FF" w:rsidP="00623B5B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 w:rsidRPr="0091513A">
        <w:rPr>
          <w:rFonts w:ascii="Calibri" w:eastAsia="Calibri" w:hAnsi="Calibri" w:cs="Arial"/>
          <w:b/>
          <w:sz w:val="28"/>
          <w:szCs w:val="28"/>
        </w:rPr>
        <w:t>Opis celu i zakresu usługi badawczej</w:t>
      </w:r>
      <w:r w:rsidR="009209F0" w:rsidRPr="009209F0">
        <w:rPr>
          <w:rFonts w:eastAsia="Tahoma" w:cs="Times New Roman"/>
          <w:b/>
          <w:iCs/>
          <w:sz w:val="28"/>
          <w:szCs w:val="28"/>
        </w:rPr>
        <w:t xml:space="preserve"> </w:t>
      </w:r>
    </w:p>
    <w:p w14:paraId="298131B0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AC9A2E3" w14:textId="77777777" w:rsidR="001C6214" w:rsidRPr="001C6214" w:rsidRDefault="001C6214" w:rsidP="001C6214">
      <w:pPr>
        <w:spacing w:after="0" w:line="360" w:lineRule="auto"/>
        <w:rPr>
          <w:rFonts w:ascii="Calibri" w:eastAsia="Tahoma" w:hAnsi="Calibri" w:cs="Calibri"/>
          <w:b/>
          <w:sz w:val="24"/>
          <w:szCs w:val="24"/>
        </w:rPr>
      </w:pPr>
      <w:r w:rsidRPr="001C6214">
        <w:rPr>
          <w:rFonts w:ascii="Calibri" w:eastAsia="Tahoma" w:hAnsi="Calibri" w:cs="Calibri"/>
          <w:b/>
          <w:sz w:val="24"/>
          <w:szCs w:val="24"/>
        </w:rPr>
        <w:t>Zakres ogólny usługi</w:t>
      </w:r>
    </w:p>
    <w:p w14:paraId="347AB250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ahoma" w:hAnsi="Calibri" w:cs="Calibri"/>
        </w:rPr>
      </w:pPr>
      <w:r w:rsidRPr="001C6214">
        <w:rPr>
          <w:rFonts w:ascii="Calibri" w:eastAsia="Tahoma" w:hAnsi="Calibri" w:cs="Calibri"/>
        </w:rPr>
        <w:t>Przedmiotem zamówienia jest realizacja usługi badawczo</w:t>
      </w:r>
      <w:r w:rsidRPr="001C6214">
        <w:rPr>
          <w:rFonts w:ascii="Calibri" w:eastAsia="Tahoma" w:hAnsi="Calibri" w:cs="Calibri"/>
        </w:rPr>
        <w:noBreakHyphen/>
        <w:t>rozwojowej polegającej na opracowaniu procesu wzbogacania targetów genetycznych poprzez namnażanie w reakcjach RT</w:t>
      </w:r>
      <w:r w:rsidRPr="001C6214">
        <w:rPr>
          <w:rFonts w:ascii="Calibri" w:eastAsia="Tahoma" w:hAnsi="Calibri" w:cs="Calibri"/>
        </w:rPr>
        <w:noBreakHyphen/>
        <w:t>PCR/PCR reprezentatywnych fragmentów genomu o wysokiej zmienności, umożliwiających analizę filogenetyczną oraz jednoznaczne rozróżnienie szczepów terenowych (dzikich) i szczepionkowych badanych patogenów.</w:t>
      </w:r>
    </w:p>
    <w:p w14:paraId="6217645A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ahoma" w:hAnsi="Calibri" w:cs="Calibri"/>
        </w:rPr>
      </w:pPr>
      <w:r w:rsidRPr="001C6214">
        <w:rPr>
          <w:rFonts w:ascii="Calibri" w:eastAsia="Tahoma" w:hAnsi="Calibri" w:cs="Calibri"/>
        </w:rPr>
        <w:t>Zakres usługi obejmuje w szczególności:</w:t>
      </w:r>
    </w:p>
    <w:p w14:paraId="3671C0DD" w14:textId="77777777" w:rsidR="001C6214" w:rsidRPr="001C6214" w:rsidRDefault="001C6214" w:rsidP="001C6214">
      <w:pPr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alibri" w:eastAsia="Tahoma" w:hAnsi="Calibri" w:cs="Calibri"/>
        </w:rPr>
      </w:pPr>
      <w:r w:rsidRPr="001C6214">
        <w:rPr>
          <w:rFonts w:ascii="Calibri" w:eastAsia="Tahoma" w:hAnsi="Calibri" w:cs="Calibri"/>
        </w:rPr>
        <w:t>identyfikację i wybór regionów genomowych o wysokiej wartości filogenetycznej, umożliwiających rozróżnienie szczepów terenowych i szczepionkowych,</w:t>
      </w:r>
    </w:p>
    <w:p w14:paraId="4500B4E7" w14:textId="77777777" w:rsidR="001C6214" w:rsidRPr="001C6214" w:rsidRDefault="001C6214" w:rsidP="001C6214">
      <w:pPr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alibri" w:eastAsia="Tahoma" w:hAnsi="Calibri" w:cs="Calibri"/>
        </w:rPr>
      </w:pPr>
      <w:r w:rsidRPr="001C6214">
        <w:rPr>
          <w:rFonts w:ascii="Calibri" w:eastAsia="Tahoma" w:hAnsi="Calibri" w:cs="Calibri"/>
        </w:rPr>
        <w:t>projektowanie i walidację in silico specyficznych starterów RT</w:t>
      </w:r>
      <w:r w:rsidRPr="001C6214">
        <w:rPr>
          <w:rFonts w:ascii="Calibri" w:eastAsia="Tahoma" w:hAnsi="Calibri" w:cs="Calibri"/>
        </w:rPr>
        <w:noBreakHyphen/>
        <w:t>PCR/PCR,</w:t>
      </w:r>
    </w:p>
    <w:p w14:paraId="4728DADC" w14:textId="77777777" w:rsidR="001C6214" w:rsidRPr="001C6214" w:rsidRDefault="001C6214" w:rsidP="001C6214">
      <w:pPr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alibri" w:eastAsia="Tahoma" w:hAnsi="Calibri" w:cs="Calibri"/>
        </w:rPr>
      </w:pPr>
      <w:r w:rsidRPr="001C6214">
        <w:rPr>
          <w:rFonts w:ascii="Calibri" w:eastAsia="Tahoma" w:hAnsi="Calibri" w:cs="Calibri"/>
        </w:rPr>
        <w:t>optymalizację i walidację warunków reakcji RT</w:t>
      </w:r>
      <w:r w:rsidRPr="001C6214">
        <w:rPr>
          <w:rFonts w:ascii="Calibri" w:eastAsia="Tahoma" w:hAnsi="Calibri" w:cs="Calibri"/>
        </w:rPr>
        <w:noBreakHyphen/>
        <w:t>PCR/PCR,</w:t>
      </w:r>
    </w:p>
    <w:p w14:paraId="0560F4B4" w14:textId="77777777" w:rsidR="001C6214" w:rsidRPr="001C6214" w:rsidRDefault="001C6214" w:rsidP="001C6214">
      <w:pPr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alibri" w:eastAsia="Tahoma" w:hAnsi="Calibri" w:cs="Calibri"/>
        </w:rPr>
      </w:pPr>
      <w:r w:rsidRPr="001C6214">
        <w:rPr>
          <w:rFonts w:ascii="Calibri" w:eastAsia="Tahoma" w:hAnsi="Calibri" w:cs="Calibri"/>
        </w:rPr>
        <w:t>uzyskanie amplikonów w ilości i jakości wystarczającej do dalszego przetwarzania, w tym budowy bibliotek NGS lub sekwencjonowania metodą Sangera.</w:t>
      </w:r>
    </w:p>
    <w:p w14:paraId="73985B81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ahoma" w:hAnsi="Calibri" w:cs="Calibri"/>
        </w:rPr>
      </w:pPr>
      <w:r w:rsidRPr="001C6214">
        <w:rPr>
          <w:rFonts w:ascii="Calibri" w:eastAsia="Tahoma" w:hAnsi="Calibri" w:cs="Calibri"/>
        </w:rPr>
        <w:t>Zakres prac ma charakter badawczo</w:t>
      </w:r>
      <w:r w:rsidRPr="001C6214">
        <w:rPr>
          <w:rFonts w:ascii="Calibri" w:eastAsia="Tahoma" w:hAnsi="Calibri" w:cs="Calibri"/>
        </w:rPr>
        <w:noBreakHyphen/>
        <w:t>rozwojowy (R&amp;D) i nie obejmuje pełnej walidacji klinicznej metod diagnostycznych w rozumieniu obowiązujących norm akredytacyjnych.</w:t>
      </w:r>
    </w:p>
    <w:p w14:paraId="36FB53F5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ahoma" w:hAnsi="Calibri" w:cs="Calibri"/>
          <w:b/>
        </w:rPr>
      </w:pPr>
    </w:p>
    <w:p w14:paraId="62D0ADA7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ahoma" w:hAnsi="Calibri" w:cs="Calibri"/>
          <w:b/>
          <w:sz w:val="24"/>
          <w:szCs w:val="24"/>
        </w:rPr>
      </w:pPr>
      <w:r w:rsidRPr="001C6214">
        <w:rPr>
          <w:rFonts w:ascii="Calibri" w:eastAsia="Tahoma" w:hAnsi="Calibri" w:cs="Calibri"/>
          <w:b/>
          <w:sz w:val="24"/>
          <w:szCs w:val="24"/>
        </w:rPr>
        <w:t>Cel</w:t>
      </w:r>
    </w:p>
    <w:p w14:paraId="7AA2BCBA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ahoma" w:hAnsi="Calibri" w:cs="Calibri"/>
        </w:rPr>
      </w:pPr>
      <w:r w:rsidRPr="001C6214">
        <w:rPr>
          <w:rFonts w:ascii="Calibri" w:eastAsia="Tahoma" w:hAnsi="Calibri" w:cs="Calibri"/>
        </w:rPr>
        <w:t>Celem badań jest opracowanie zestawów reakcji RT</w:t>
      </w:r>
      <w:r w:rsidRPr="001C6214">
        <w:rPr>
          <w:rFonts w:ascii="Calibri" w:eastAsia="Tahoma" w:hAnsi="Calibri" w:cs="Calibri"/>
        </w:rPr>
        <w:noBreakHyphen/>
        <w:t>PCR/PCR umożliwiających namnażanie specyficznych fragmentów genomowych przeznaczonych do porównawczej analizy filogenetycznej i molekularnej charakterystyki szczepów, ze szczególnym uwzględnieniem rozróżnienia szczepów terenowych i szczepionkowych, dla następujących patogenów:</w:t>
      </w:r>
    </w:p>
    <w:p w14:paraId="502F1C56" w14:textId="77777777" w:rsidR="001C6214" w:rsidRPr="001C6214" w:rsidRDefault="001C6214" w:rsidP="001C6214">
      <w:pPr>
        <w:numPr>
          <w:ilvl w:val="0"/>
          <w:numId w:val="33"/>
        </w:numPr>
        <w:spacing w:after="0" w:line="360" w:lineRule="auto"/>
        <w:ind w:left="284" w:hanging="284"/>
        <w:contextualSpacing/>
        <w:jc w:val="both"/>
        <w:rPr>
          <w:rFonts w:ascii="Calibri" w:eastAsia="Tahoma" w:hAnsi="Calibri" w:cs="Calibri"/>
        </w:rPr>
      </w:pPr>
      <w:r w:rsidRPr="001C6214">
        <w:rPr>
          <w:rFonts w:ascii="Calibri" w:eastAsia="Tahoma" w:hAnsi="Calibri" w:cs="Calibri"/>
          <w:b/>
          <w:bCs/>
        </w:rPr>
        <w:t>Ptasiego koronawirusa (aCoV), wirusa zakaźnego zapalenia oskrzeli (IBV)</w:t>
      </w:r>
      <w:r w:rsidRPr="001C6214">
        <w:rPr>
          <w:rFonts w:ascii="Calibri" w:eastAsia="Tahoma" w:hAnsi="Calibri" w:cs="Calibri"/>
        </w:rPr>
        <w:t xml:space="preserve"> – opracowanie metody wzbogacania targetów umożliwiającej analizę filogenetyczną szczepów IBV, w tym rozróżnienie szczepów terenowych i szczepionkowych.</w:t>
      </w:r>
    </w:p>
    <w:p w14:paraId="3A5EF751" w14:textId="77777777" w:rsidR="001C6214" w:rsidRPr="001C6214" w:rsidRDefault="001C6214" w:rsidP="001C6214">
      <w:pPr>
        <w:numPr>
          <w:ilvl w:val="0"/>
          <w:numId w:val="35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Calibri" w:eastAsia="Tahoma" w:hAnsi="Calibri" w:cs="Calibri"/>
        </w:rPr>
      </w:pPr>
      <w:r w:rsidRPr="001C6214">
        <w:rPr>
          <w:rFonts w:ascii="Calibri" w:eastAsia="Tahoma" w:hAnsi="Calibri" w:cs="Calibri"/>
          <w:b/>
          <w:bCs/>
        </w:rPr>
        <w:t>Ptasiego metapneumowirusa (aMPV), czynnika etiologicznego zakaźnego zapalenia nosa i tchawicy (TRT)</w:t>
      </w:r>
      <w:r w:rsidRPr="001C6214">
        <w:rPr>
          <w:rFonts w:ascii="Calibri" w:eastAsia="Tahoma" w:hAnsi="Calibri" w:cs="Calibri"/>
        </w:rPr>
        <w:t xml:space="preserve"> – opracowanie metody wzbogacania targetów umożliwiającej analizę filogenetyczną szczepów aMPV, w tym rozróżnienie szczepów terenowych i szczepionkowych.</w:t>
      </w:r>
    </w:p>
    <w:p w14:paraId="6842C3BA" w14:textId="77777777" w:rsidR="001C6214" w:rsidRPr="001C6214" w:rsidRDefault="001C6214" w:rsidP="001C6214">
      <w:pPr>
        <w:numPr>
          <w:ilvl w:val="0"/>
          <w:numId w:val="35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Calibri" w:eastAsia="Tahoma" w:hAnsi="Calibri" w:cs="Calibri"/>
        </w:rPr>
      </w:pPr>
      <w:r w:rsidRPr="001C6214">
        <w:rPr>
          <w:rFonts w:ascii="Calibri" w:eastAsia="Tahoma" w:hAnsi="Calibri" w:cs="Calibri"/>
          <w:b/>
          <w:bCs/>
        </w:rPr>
        <w:lastRenderedPageBreak/>
        <w:t>Ptasiego birnawirusa zakaźnego zapalenia torby Fabrycjusza (IBDV)</w:t>
      </w:r>
      <w:r w:rsidRPr="001C6214">
        <w:rPr>
          <w:rFonts w:ascii="Calibri" w:eastAsia="Tahoma" w:hAnsi="Calibri" w:cs="Calibri"/>
        </w:rPr>
        <w:t xml:space="preserve"> – opracowanie metody wzbogacania targetów umożliwiającej analizę filogenetyczną szczepów i wariantów wirusa, w tym rozróżnienie szczepów terenowych i szczepionkowych.</w:t>
      </w:r>
    </w:p>
    <w:p w14:paraId="645BA696" w14:textId="77777777" w:rsidR="001C6214" w:rsidRPr="001C6214" w:rsidRDefault="001C6214" w:rsidP="001C6214">
      <w:pPr>
        <w:numPr>
          <w:ilvl w:val="0"/>
          <w:numId w:val="35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Calibri" w:eastAsia="Tahoma" w:hAnsi="Calibri" w:cs="Calibri"/>
        </w:rPr>
      </w:pPr>
      <w:r w:rsidRPr="001C6214">
        <w:rPr>
          <w:rFonts w:ascii="Calibri" w:eastAsia="Tahoma" w:hAnsi="Calibri" w:cs="Calibri"/>
          <w:b/>
          <w:bCs/>
        </w:rPr>
        <w:t>Wirusa zespołu rozrodczo</w:t>
      </w:r>
      <w:r w:rsidRPr="001C6214">
        <w:rPr>
          <w:rFonts w:ascii="Calibri" w:eastAsia="Tahoma" w:hAnsi="Calibri" w:cs="Calibri"/>
          <w:b/>
          <w:bCs/>
        </w:rPr>
        <w:noBreakHyphen/>
        <w:t>oddechowego świń (PRRSV)</w:t>
      </w:r>
      <w:r w:rsidRPr="001C6214">
        <w:rPr>
          <w:rFonts w:ascii="Calibri" w:eastAsia="Tahoma" w:hAnsi="Calibri" w:cs="Calibri"/>
        </w:rPr>
        <w:t xml:space="preserve"> – opracowanie metody wzbogacania targetów umożliwiającej analizę filogenetyczną, w tym różnicowanie szczepów europejskich (EU) dzikich i szczepionkowych oraz analizę filogenetyczną szczepów północnoamerykańskich (NA).</w:t>
      </w:r>
    </w:p>
    <w:p w14:paraId="2B12B78A" w14:textId="77777777" w:rsidR="001C6214" w:rsidRPr="001C6214" w:rsidRDefault="001C6214" w:rsidP="001C6214">
      <w:pPr>
        <w:numPr>
          <w:ilvl w:val="0"/>
          <w:numId w:val="33"/>
        </w:numPr>
        <w:spacing w:after="0" w:line="360" w:lineRule="auto"/>
        <w:ind w:left="284" w:hanging="284"/>
        <w:contextualSpacing/>
        <w:jc w:val="both"/>
        <w:rPr>
          <w:rFonts w:ascii="Calibri" w:eastAsia="Tahoma" w:hAnsi="Calibri" w:cs="Calibri"/>
        </w:rPr>
      </w:pPr>
      <w:r w:rsidRPr="001C6214">
        <w:rPr>
          <w:rFonts w:ascii="Calibri" w:eastAsia="Tahoma" w:hAnsi="Calibri" w:cs="Calibri"/>
          <w:b/>
          <w:bCs/>
        </w:rPr>
        <w:t>Cirkowirusa świń typu 2 (PCV2)</w:t>
      </w:r>
      <w:r w:rsidRPr="001C6214">
        <w:rPr>
          <w:rFonts w:ascii="Calibri" w:eastAsia="Tahoma" w:hAnsi="Calibri" w:cs="Calibri"/>
        </w:rPr>
        <w:t xml:space="preserve"> – opracowanie metody wzbogacania targetów umożliwiającej analizę filogenetyczną wariantów wirusa PCV2, w tym rozróżnienie szczepów terenowych i szczepionkowych</w:t>
      </w:r>
    </w:p>
    <w:p w14:paraId="0817E3F5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ahoma" w:hAnsi="Calibri" w:cs="Calibri"/>
          <w:b/>
          <w:bCs/>
        </w:rPr>
      </w:pPr>
    </w:p>
    <w:p w14:paraId="1790D1AC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ahoma" w:hAnsi="Calibri" w:cs="Calibri"/>
          <w:b/>
          <w:bCs/>
          <w:sz w:val="24"/>
          <w:szCs w:val="24"/>
        </w:rPr>
      </w:pPr>
      <w:r w:rsidRPr="001C6214">
        <w:rPr>
          <w:rFonts w:ascii="Calibri" w:eastAsia="Tahoma" w:hAnsi="Calibri" w:cs="Calibri"/>
          <w:b/>
          <w:bCs/>
          <w:sz w:val="24"/>
          <w:szCs w:val="24"/>
        </w:rPr>
        <w:t>Etapy prac wraz z zakresem merytorycznym</w:t>
      </w:r>
    </w:p>
    <w:p w14:paraId="29C878A5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1C6214">
        <w:rPr>
          <w:rFonts w:ascii="Calibri" w:eastAsia="Times New Roman" w:hAnsi="Calibri" w:cs="Calibri"/>
          <w:b/>
          <w:bCs/>
          <w:lang w:eastAsia="pl-PL"/>
        </w:rPr>
        <w:t>Etap 1. Prace koncepcyjne i bioinformatyczne – identyfikacja targetów</w:t>
      </w:r>
    </w:p>
    <w:p w14:paraId="0AC91E86" w14:textId="77777777" w:rsidR="001C6214" w:rsidRPr="001C6214" w:rsidRDefault="001C6214" w:rsidP="001C6214">
      <w:pPr>
        <w:numPr>
          <w:ilvl w:val="0"/>
          <w:numId w:val="36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lang w:eastAsia="pl-PL"/>
        </w:rPr>
        <w:t>przegląd literatury naukowej oraz publicznych baz sekwencji (NCBI GenBank, ViPR oraz inne ogólnodostępne repozytoria; dane z GISAID wykorzystywane wyłącznie do analiz porównawczych, zgodnie z warunkami licencyjnymi),</w:t>
      </w:r>
    </w:p>
    <w:p w14:paraId="60A4A038" w14:textId="77777777" w:rsidR="001C6214" w:rsidRPr="001C6214" w:rsidRDefault="001C6214" w:rsidP="001C6214">
      <w:pPr>
        <w:numPr>
          <w:ilvl w:val="0"/>
          <w:numId w:val="36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lang w:eastAsia="pl-PL"/>
        </w:rPr>
        <w:t>analiza bioinformatyczna sekwencji z wykorzystaniem narzędzi takich jak MEGA, Geneious, UGENE, Clustal Omega, MUSCLE w celu:</w:t>
      </w:r>
    </w:p>
    <w:p w14:paraId="26A35E42" w14:textId="77777777" w:rsidR="001C6214" w:rsidRPr="001C6214" w:rsidRDefault="001C6214" w:rsidP="001C6214">
      <w:pPr>
        <w:numPr>
          <w:ilvl w:val="1"/>
          <w:numId w:val="36"/>
        </w:numPr>
        <w:tabs>
          <w:tab w:val="num" w:pos="567"/>
        </w:tabs>
        <w:spacing w:after="0" w:line="36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lang w:eastAsia="pl-PL"/>
        </w:rPr>
        <w:t>określenia zmienności genetycznej potencjalnych regionów docelowych,</w:t>
      </w:r>
    </w:p>
    <w:p w14:paraId="6463E29D" w14:textId="77777777" w:rsidR="001C6214" w:rsidRPr="001C6214" w:rsidRDefault="001C6214" w:rsidP="001C6214">
      <w:pPr>
        <w:numPr>
          <w:ilvl w:val="1"/>
          <w:numId w:val="36"/>
        </w:numPr>
        <w:tabs>
          <w:tab w:val="num" w:pos="567"/>
        </w:tabs>
        <w:spacing w:after="0" w:line="36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lang w:eastAsia="pl-PL"/>
        </w:rPr>
        <w:t>identyfikacji regionów umożliwiających jednoznaczne różnicowanie szczepów terenowych (dzikich) i szczepionkowych, w szczególności poprzez obecność charakterystycznych mutacji, delecji lub klastrów filogenetycznych powiązanych z pochodzeniem szczepu,</w:t>
      </w:r>
    </w:p>
    <w:p w14:paraId="66F99CAA" w14:textId="77777777" w:rsidR="001C6214" w:rsidRPr="001C6214" w:rsidRDefault="001C6214" w:rsidP="001C6214">
      <w:pPr>
        <w:numPr>
          <w:ilvl w:val="1"/>
          <w:numId w:val="36"/>
        </w:numPr>
        <w:tabs>
          <w:tab w:val="num" w:pos="567"/>
        </w:tabs>
        <w:spacing w:after="0" w:line="36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lang w:eastAsia="pl-PL"/>
        </w:rPr>
        <w:t>weryfikacji kompatybilności z dalszymi etapami (długość amplikonu, zawartość GC, brak homologii z genomem gospodarza),</w:t>
      </w:r>
    </w:p>
    <w:p w14:paraId="10FC1AB9" w14:textId="77777777" w:rsidR="001C6214" w:rsidRPr="001C6214" w:rsidRDefault="001C6214" w:rsidP="001C6214">
      <w:pPr>
        <w:numPr>
          <w:ilvl w:val="0"/>
          <w:numId w:val="36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lang w:eastAsia="pl-PL"/>
        </w:rPr>
        <w:t>wybór co najmniej jednego regionu docelowego dla każdego patogenu (docelowo 400–1200 pz).</w:t>
      </w:r>
    </w:p>
    <w:p w14:paraId="3299F370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b/>
          <w:bCs/>
          <w:lang w:eastAsia="pl-PL"/>
        </w:rPr>
        <w:t>Produkt etapu:</w:t>
      </w:r>
      <w:r w:rsidRPr="001C6214">
        <w:rPr>
          <w:rFonts w:ascii="Calibri" w:eastAsia="Times New Roman" w:hAnsi="Calibri" w:cs="Calibri"/>
          <w:lang w:eastAsia="pl-PL"/>
        </w:rPr>
        <w:t xml:space="preserve"> raport z analiz in silico oraz lista rekomendowanych regionów docelowych, przekazywane sukcesywnie do akceptacji Zamawiającego.</w:t>
      </w:r>
    </w:p>
    <w:p w14:paraId="571CED6C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0BCD2AFE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1C6214">
        <w:rPr>
          <w:rFonts w:ascii="Calibri" w:eastAsia="Times New Roman" w:hAnsi="Calibri" w:cs="Calibri"/>
          <w:b/>
          <w:bCs/>
          <w:lang w:eastAsia="pl-PL"/>
        </w:rPr>
        <w:t>Etap 2. Projektowanie i walidacja in silico starterów</w:t>
      </w:r>
    </w:p>
    <w:p w14:paraId="58F7152F" w14:textId="77777777" w:rsidR="001C6214" w:rsidRPr="001C6214" w:rsidRDefault="001C6214" w:rsidP="001C6214">
      <w:pPr>
        <w:numPr>
          <w:ilvl w:val="0"/>
          <w:numId w:val="37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lang w:eastAsia="pl-PL"/>
        </w:rPr>
        <w:t>projektowanie kilku alternatywnych par starterów RT</w:t>
      </w:r>
      <w:r w:rsidRPr="001C6214">
        <w:rPr>
          <w:rFonts w:ascii="Calibri" w:eastAsia="Times New Roman" w:hAnsi="Calibri" w:cs="Calibri"/>
          <w:lang w:eastAsia="pl-PL"/>
        </w:rPr>
        <w:noBreakHyphen/>
        <w:t>PCR/PCR dla każdego wybranego regionu docelowego z wykorzystaniem narzędzi takich jak Primer3, OligoAnalyzer, NCBI Primer</w:t>
      </w:r>
      <w:r w:rsidRPr="001C6214">
        <w:rPr>
          <w:rFonts w:ascii="Calibri" w:eastAsia="Times New Roman" w:hAnsi="Calibri" w:cs="Calibri"/>
          <w:lang w:eastAsia="pl-PL"/>
        </w:rPr>
        <w:noBreakHyphen/>
        <w:t>BLAST,</w:t>
      </w:r>
    </w:p>
    <w:p w14:paraId="19F48DC9" w14:textId="77777777" w:rsidR="001C6214" w:rsidRPr="001C6214" w:rsidRDefault="001C6214" w:rsidP="001C6214">
      <w:pPr>
        <w:numPr>
          <w:ilvl w:val="0"/>
          <w:numId w:val="37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lang w:eastAsia="pl-PL"/>
        </w:rPr>
        <w:t>uwzględnienie kluczowych parametrów projektowych: długość starterów 18–25 nt, temperatura topnienia (Tm), brak struktur drugorzędowych (dimery, spinki), wysoka specyficzność wobec sekwencji docelowej,</w:t>
      </w:r>
    </w:p>
    <w:p w14:paraId="55F00619" w14:textId="77777777" w:rsidR="001C6214" w:rsidRPr="001C6214" w:rsidRDefault="001C6214" w:rsidP="001C6214">
      <w:pPr>
        <w:numPr>
          <w:ilvl w:val="0"/>
          <w:numId w:val="37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lang w:eastAsia="pl-PL"/>
        </w:rPr>
        <w:lastRenderedPageBreak/>
        <w:t>walidacja in silico zaprojektowanych starterów, obejmująca analizę specyficzności oraz ocenę ryzyka amplifikacji niespecyficznej,</w:t>
      </w:r>
    </w:p>
    <w:p w14:paraId="7426E21E" w14:textId="77777777" w:rsidR="001C6214" w:rsidRPr="001C6214" w:rsidRDefault="001C6214" w:rsidP="001C6214">
      <w:pPr>
        <w:numPr>
          <w:ilvl w:val="0"/>
          <w:numId w:val="37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lang w:eastAsia="pl-PL"/>
        </w:rPr>
        <w:t>weryfikacja kompatybilności starterów z planowanym sekwencjonowaniem (NGS/Sanger).</w:t>
      </w:r>
    </w:p>
    <w:p w14:paraId="12BD8E77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b/>
          <w:bCs/>
          <w:lang w:eastAsia="pl-PL"/>
        </w:rPr>
        <w:t>Produkt etapu:</w:t>
      </w:r>
      <w:r w:rsidRPr="001C6214">
        <w:rPr>
          <w:rFonts w:ascii="Calibri" w:eastAsia="Times New Roman" w:hAnsi="Calibri" w:cs="Calibri"/>
          <w:lang w:eastAsia="pl-PL"/>
        </w:rPr>
        <w:t xml:space="preserve"> zestawy starterów wraz z dokumentacją projektową, przekazywane sukcesywnie do zatwierdzenia przez Zamawiającego.</w:t>
      </w:r>
    </w:p>
    <w:p w14:paraId="0D0F1E8F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181417B0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1C6214">
        <w:rPr>
          <w:rFonts w:ascii="Calibri" w:eastAsia="Times New Roman" w:hAnsi="Calibri" w:cs="Calibri"/>
          <w:b/>
          <w:bCs/>
          <w:lang w:eastAsia="pl-PL"/>
        </w:rPr>
        <w:t>Etap 3. Optymalizacja i walidacja laboratoryjna RT</w:t>
      </w:r>
      <w:r w:rsidRPr="001C6214">
        <w:rPr>
          <w:rFonts w:ascii="Calibri" w:eastAsia="Times New Roman" w:hAnsi="Calibri" w:cs="Calibri"/>
          <w:b/>
          <w:bCs/>
          <w:lang w:eastAsia="pl-PL"/>
        </w:rPr>
        <w:noBreakHyphen/>
        <w:t>PCR/PCR</w:t>
      </w:r>
    </w:p>
    <w:p w14:paraId="55DD7634" w14:textId="77777777" w:rsidR="001C6214" w:rsidRPr="001C6214" w:rsidRDefault="001C6214" w:rsidP="001C6214">
      <w:pPr>
        <w:numPr>
          <w:ilvl w:val="0"/>
          <w:numId w:val="38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lang w:eastAsia="pl-PL"/>
        </w:rPr>
        <w:t>optymalizacja warunków reakcji RT</w:t>
      </w:r>
      <w:r w:rsidRPr="001C6214">
        <w:rPr>
          <w:rFonts w:ascii="Calibri" w:eastAsia="Times New Roman" w:hAnsi="Calibri" w:cs="Calibri"/>
          <w:lang w:eastAsia="pl-PL"/>
        </w:rPr>
        <w:noBreakHyphen/>
        <w:t>PCR/PCR (typ reakcji one</w:t>
      </w:r>
      <w:r w:rsidRPr="001C6214">
        <w:rPr>
          <w:rFonts w:ascii="Calibri" w:eastAsia="Times New Roman" w:hAnsi="Calibri" w:cs="Calibri"/>
          <w:lang w:eastAsia="pl-PL"/>
        </w:rPr>
        <w:noBreakHyphen/>
        <w:t>step/two</w:t>
      </w:r>
      <w:r w:rsidRPr="001C6214">
        <w:rPr>
          <w:rFonts w:ascii="Calibri" w:eastAsia="Times New Roman" w:hAnsi="Calibri" w:cs="Calibri"/>
          <w:lang w:eastAsia="pl-PL"/>
        </w:rPr>
        <w:noBreakHyphen/>
        <w:t>step, temperatura przyłączania, stężenie starterów, MgCl₂, ilość matrycy, liczba cykli),</w:t>
      </w:r>
    </w:p>
    <w:p w14:paraId="2C0C9CBB" w14:textId="77777777" w:rsidR="001C6214" w:rsidRPr="001C6214" w:rsidRDefault="001C6214" w:rsidP="001C6214">
      <w:pPr>
        <w:numPr>
          <w:ilvl w:val="0"/>
          <w:numId w:val="38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lang w:eastAsia="pl-PL"/>
        </w:rPr>
        <w:t>walidacja amplifikacji na materiale referencyjnym dostarczonym przez Wykonawcę i uzgodnionym z Zamawiającym,</w:t>
      </w:r>
    </w:p>
    <w:p w14:paraId="7AE584BA" w14:textId="77777777" w:rsidR="001C6214" w:rsidRPr="001C6214" w:rsidRDefault="001C6214" w:rsidP="001C6214">
      <w:pPr>
        <w:numPr>
          <w:ilvl w:val="0"/>
          <w:numId w:val="38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lang w:eastAsia="pl-PL"/>
        </w:rPr>
        <w:t>jakościowa i ilościowa ocena produktów PCR (elektroforeza, Fragment Analyzer lub metody równoważne),</w:t>
      </w:r>
    </w:p>
    <w:p w14:paraId="5221C8C2" w14:textId="77777777" w:rsidR="001C6214" w:rsidRPr="001C6214" w:rsidRDefault="001C6214" w:rsidP="001C6214">
      <w:pPr>
        <w:numPr>
          <w:ilvl w:val="0"/>
          <w:numId w:val="38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lang w:eastAsia="pl-PL"/>
        </w:rPr>
        <w:t>selekcja optymalnych zestawów starterów i warunków reakcji zapewniających:</w:t>
      </w:r>
    </w:p>
    <w:p w14:paraId="751F979C" w14:textId="77777777" w:rsidR="001C6214" w:rsidRPr="001C6214" w:rsidRDefault="001C6214" w:rsidP="001C6214">
      <w:pPr>
        <w:numPr>
          <w:ilvl w:val="1"/>
          <w:numId w:val="38"/>
        </w:numPr>
        <w:tabs>
          <w:tab w:val="num" w:pos="709"/>
        </w:tabs>
        <w:spacing w:after="0" w:line="36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lang w:eastAsia="pl-PL"/>
        </w:rPr>
        <w:t>jednoznaczną amplifikację produktu o oczekiwanej długości,</w:t>
      </w:r>
    </w:p>
    <w:p w14:paraId="58083368" w14:textId="77777777" w:rsidR="001C6214" w:rsidRPr="001C6214" w:rsidRDefault="001C6214" w:rsidP="001C6214">
      <w:pPr>
        <w:numPr>
          <w:ilvl w:val="1"/>
          <w:numId w:val="38"/>
        </w:numPr>
        <w:tabs>
          <w:tab w:val="num" w:pos="709"/>
        </w:tabs>
        <w:spacing w:after="0" w:line="36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lang w:eastAsia="pl-PL"/>
        </w:rPr>
        <w:t>wysoką powtarzalność wyników (&gt;95%),</w:t>
      </w:r>
    </w:p>
    <w:p w14:paraId="4DA900CF" w14:textId="77777777" w:rsidR="001C6214" w:rsidRPr="001C6214" w:rsidRDefault="001C6214" w:rsidP="001C6214">
      <w:pPr>
        <w:numPr>
          <w:ilvl w:val="1"/>
          <w:numId w:val="38"/>
        </w:numPr>
        <w:tabs>
          <w:tab w:val="num" w:pos="709"/>
        </w:tabs>
        <w:spacing w:after="0" w:line="36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lang w:eastAsia="pl-PL"/>
        </w:rPr>
        <w:t>możliwość amplifikacji z niskiej ilości materiału genetycznego,</w:t>
      </w:r>
    </w:p>
    <w:p w14:paraId="6790F1D8" w14:textId="77777777" w:rsidR="001C6214" w:rsidRPr="001C6214" w:rsidRDefault="001C6214" w:rsidP="001C6214">
      <w:pPr>
        <w:numPr>
          <w:ilvl w:val="1"/>
          <w:numId w:val="38"/>
        </w:numPr>
        <w:tabs>
          <w:tab w:val="num" w:pos="709"/>
        </w:tabs>
        <w:spacing w:after="0" w:line="36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lang w:eastAsia="pl-PL"/>
        </w:rPr>
        <w:t>brak amplifikacji niespecyficznej.</w:t>
      </w:r>
    </w:p>
    <w:p w14:paraId="3E9AD3D8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b/>
          <w:bCs/>
          <w:lang w:eastAsia="pl-PL"/>
        </w:rPr>
        <w:t>Produkt etapu:</w:t>
      </w:r>
      <w:r w:rsidRPr="001C6214">
        <w:rPr>
          <w:rFonts w:ascii="Calibri" w:eastAsia="Times New Roman" w:hAnsi="Calibri" w:cs="Calibri"/>
          <w:lang w:eastAsia="pl-PL"/>
        </w:rPr>
        <w:t xml:space="preserve"> zoptymalizowane protokoły RT</w:t>
      </w:r>
      <w:r w:rsidRPr="001C6214">
        <w:rPr>
          <w:rFonts w:ascii="Calibri" w:eastAsia="Times New Roman" w:hAnsi="Calibri" w:cs="Calibri"/>
          <w:lang w:eastAsia="pl-PL"/>
        </w:rPr>
        <w:noBreakHyphen/>
        <w:t>PCR/PCR oraz raport walidacyjny.</w:t>
      </w:r>
    </w:p>
    <w:p w14:paraId="54BDE048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135209B1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1C6214">
        <w:rPr>
          <w:rFonts w:ascii="Calibri" w:eastAsia="Times New Roman" w:hAnsi="Calibri" w:cs="Calibri"/>
          <w:b/>
          <w:bCs/>
          <w:lang w:eastAsia="pl-PL"/>
        </w:rPr>
        <w:t>Etap 4. Weryfikacja przydatności do sekwencjonowania</w:t>
      </w:r>
    </w:p>
    <w:p w14:paraId="4D4A957B" w14:textId="77777777" w:rsidR="001C6214" w:rsidRPr="001C6214" w:rsidRDefault="001C6214" w:rsidP="001C6214">
      <w:pPr>
        <w:numPr>
          <w:ilvl w:val="0"/>
          <w:numId w:val="3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lang w:eastAsia="pl-PL"/>
        </w:rPr>
        <w:t>przygotowanie próbnych bibliotek NGS z wybranych amplikonów lub weryfikacja kompatybilności z sekwencjonowaniem metodą Sangera,</w:t>
      </w:r>
    </w:p>
    <w:p w14:paraId="415562C8" w14:textId="77777777" w:rsidR="001C6214" w:rsidRPr="001C6214" w:rsidRDefault="001C6214" w:rsidP="001C6214">
      <w:pPr>
        <w:numPr>
          <w:ilvl w:val="0"/>
          <w:numId w:val="3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lang w:eastAsia="pl-PL"/>
        </w:rPr>
        <w:t>ocena jakości bibliotek (rozkład długości fragmentów, molarność, udział sekwencji on</w:t>
      </w:r>
      <w:r w:rsidRPr="001C6214">
        <w:rPr>
          <w:rFonts w:ascii="Calibri" w:eastAsia="Times New Roman" w:hAnsi="Calibri" w:cs="Calibri"/>
          <w:lang w:eastAsia="pl-PL"/>
        </w:rPr>
        <w:noBreakHyphen/>
        <w:t>target),</w:t>
      </w:r>
    </w:p>
    <w:p w14:paraId="03BB56FF" w14:textId="77777777" w:rsidR="001C6214" w:rsidRPr="001C6214" w:rsidRDefault="001C6214" w:rsidP="001C6214">
      <w:pPr>
        <w:numPr>
          <w:ilvl w:val="0"/>
          <w:numId w:val="39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1C6214">
        <w:rPr>
          <w:rFonts w:ascii="Calibri" w:eastAsia="Times New Roman" w:hAnsi="Calibri" w:cs="Calibri"/>
          <w:lang w:eastAsia="pl-PL"/>
        </w:rPr>
        <w:t>analiza danych sekwencyjnych w celu potwierdzenia zgodności uzyskanych sekwencji z przewidywanymi regionami filogenetycznymi oraz zdolności rozróżniania szczepów terenowych i szczepionkowych.</w:t>
      </w:r>
    </w:p>
    <w:p w14:paraId="45051AED" w14:textId="77777777" w:rsidR="001C6214" w:rsidRPr="001C6214" w:rsidRDefault="001C6214" w:rsidP="001C6214">
      <w:pPr>
        <w:suppressAutoHyphens/>
        <w:autoSpaceDE w:val="0"/>
        <w:autoSpaceDN w:val="0"/>
        <w:spacing w:after="0" w:line="360" w:lineRule="auto"/>
        <w:contextualSpacing/>
        <w:jc w:val="both"/>
        <w:textAlignment w:val="baseline"/>
        <w:rPr>
          <w:rFonts w:ascii="Calibri" w:eastAsia="Calibri" w:hAnsi="Calibri" w:cs="Calibri"/>
          <w:color w:val="000000"/>
        </w:rPr>
      </w:pPr>
      <w:r w:rsidRPr="001C6214">
        <w:rPr>
          <w:rFonts w:ascii="Calibri" w:eastAsia="Times New Roman" w:hAnsi="Calibri" w:cs="Calibri"/>
          <w:b/>
          <w:bCs/>
          <w:lang w:eastAsia="pl-PL"/>
        </w:rPr>
        <w:t xml:space="preserve">Produkt etapu: </w:t>
      </w:r>
      <w:r w:rsidRPr="001C6214">
        <w:rPr>
          <w:rFonts w:ascii="Calibri" w:eastAsia="Calibri" w:hAnsi="Calibri" w:cs="Calibri"/>
        </w:rPr>
        <w:t>Raport potwierdzający przydatność uzyskanych amplikonów do dalszego sekwencjonowania poprzez analizę danych sekwencyjnych z próbnych bibliotek NGS, w którym zostanie wykazane odrębne klastrowanie szczepów terenowych i szczepionkowych.</w:t>
      </w:r>
    </w:p>
    <w:p w14:paraId="6FE6C8F7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ahoma" w:hAnsi="Calibri" w:cs="Calibri"/>
          <w:b/>
        </w:rPr>
      </w:pPr>
    </w:p>
    <w:p w14:paraId="03B8A7E4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ahoma" w:hAnsi="Calibri" w:cs="Calibri"/>
          <w:b/>
          <w:bCs/>
          <w:sz w:val="24"/>
          <w:szCs w:val="24"/>
        </w:rPr>
      </w:pPr>
      <w:r w:rsidRPr="001C6214">
        <w:rPr>
          <w:rFonts w:ascii="Calibri" w:eastAsia="Tahoma" w:hAnsi="Calibri" w:cs="Calibri"/>
          <w:b/>
          <w:bCs/>
          <w:sz w:val="24"/>
          <w:szCs w:val="24"/>
        </w:rPr>
        <w:t>Harmonogram realizacji usługi</w:t>
      </w:r>
    </w:p>
    <w:p w14:paraId="5E0D888E" w14:textId="3C77CFFB" w:rsidR="001C6214" w:rsidRPr="001C6214" w:rsidRDefault="001C6214" w:rsidP="001C6214">
      <w:pPr>
        <w:spacing w:after="0" w:line="360" w:lineRule="auto"/>
        <w:jc w:val="both"/>
        <w:rPr>
          <w:rFonts w:ascii="Calibri" w:eastAsia="Tahoma" w:hAnsi="Calibri" w:cs="Calibri"/>
        </w:rPr>
      </w:pPr>
      <w:r w:rsidRPr="001C6214">
        <w:rPr>
          <w:rFonts w:ascii="Calibri" w:eastAsia="Tahoma" w:hAnsi="Calibri" w:cs="Calibri"/>
        </w:rPr>
        <w:lastRenderedPageBreak/>
        <w:t xml:space="preserve">Realizacja usługi planowana jest na okres </w:t>
      </w:r>
      <w:r w:rsidR="007B28E1" w:rsidRPr="007B28E1">
        <w:rPr>
          <w:rFonts w:ascii="Calibri" w:eastAsia="Tahoma" w:hAnsi="Calibri" w:cs="Calibri"/>
        </w:rPr>
        <w:t>od 30 marca 2026 roku do 31 maja 2027 roku</w:t>
      </w:r>
      <w:r w:rsidRPr="001C6214">
        <w:rPr>
          <w:rFonts w:ascii="Calibri" w:eastAsia="Tahoma" w:hAnsi="Calibri" w:cs="Calibri"/>
        </w:rPr>
        <w:t>, z etapową realizacją prac i odbiorami częściowymi umożliwiającymi sukcesywne przekazywanie wyników oraz ich bieżącą weryfikację przez Zamawiającego.</w:t>
      </w:r>
    </w:p>
    <w:p w14:paraId="483C884D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ahoma" w:hAnsi="Calibri" w:cs="Calibri"/>
        </w:rPr>
      </w:pPr>
    </w:p>
    <w:p w14:paraId="5545CE35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ahoma" w:hAnsi="Calibri" w:cs="Calibri"/>
          <w:b/>
          <w:bCs/>
          <w:sz w:val="24"/>
          <w:szCs w:val="24"/>
        </w:rPr>
      </w:pPr>
      <w:r w:rsidRPr="001C6214">
        <w:rPr>
          <w:rFonts w:ascii="Calibri" w:eastAsia="Tahoma" w:hAnsi="Calibri" w:cs="Calibri"/>
          <w:b/>
          <w:bCs/>
          <w:sz w:val="24"/>
          <w:szCs w:val="24"/>
        </w:rPr>
        <w:t>Osoba prowadząca/nadzorująca ze strony Zamawiającego</w:t>
      </w:r>
    </w:p>
    <w:p w14:paraId="7204B818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ahoma" w:hAnsi="Calibri" w:cs="Calibri"/>
        </w:rPr>
      </w:pPr>
      <w:r w:rsidRPr="001C6214">
        <w:rPr>
          <w:rFonts w:ascii="Calibri" w:eastAsia="Tahoma" w:hAnsi="Calibri" w:cs="Calibri"/>
        </w:rPr>
        <w:t>Tomasz Szubstarski</w:t>
      </w:r>
    </w:p>
    <w:p w14:paraId="3A175FB0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ahoma" w:hAnsi="Calibri" w:cs="Calibri"/>
        </w:rPr>
      </w:pPr>
    </w:p>
    <w:p w14:paraId="2DBEBD3A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Tahoma" w:hAnsi="Calibri" w:cs="Calibri"/>
          <w:b/>
          <w:bCs/>
          <w:sz w:val="24"/>
          <w:szCs w:val="24"/>
        </w:rPr>
      </w:pPr>
      <w:r w:rsidRPr="001C6214">
        <w:rPr>
          <w:rFonts w:ascii="Calibri" w:eastAsia="Tahoma" w:hAnsi="Calibri" w:cs="Calibri"/>
          <w:b/>
          <w:bCs/>
          <w:sz w:val="24"/>
          <w:szCs w:val="24"/>
        </w:rPr>
        <w:t>Powstanie nowej wiedzy i sposób jej weryfikacji</w:t>
      </w:r>
    </w:p>
    <w:p w14:paraId="096E2F31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Calibri" w:hAnsi="Calibri" w:cs="Calibri"/>
        </w:rPr>
      </w:pPr>
      <w:r w:rsidRPr="001C6214">
        <w:rPr>
          <w:rFonts w:ascii="Calibri" w:eastAsia="Calibri" w:hAnsi="Calibri" w:cs="Calibri"/>
          <w:b/>
          <w:bCs/>
        </w:rPr>
        <w:t>Wskaźnik wykonania:</w:t>
      </w:r>
      <w:r w:rsidRPr="001C6214">
        <w:rPr>
          <w:rFonts w:ascii="Calibri" w:eastAsia="Calibri" w:hAnsi="Calibri" w:cs="Calibri"/>
        </w:rPr>
        <w:t xml:space="preserve"> Opracowanie pięciu zestawów starterów RT</w:t>
      </w:r>
      <w:r w:rsidRPr="001C6214">
        <w:rPr>
          <w:rFonts w:ascii="Calibri" w:eastAsia="Calibri" w:hAnsi="Calibri" w:cs="Calibri"/>
        </w:rPr>
        <w:noBreakHyphen/>
        <w:t>PCR/PCR do wzbogacania specyficznych targetów genomowych patogenów IBV, aMPV, IBDV, PRRSV i PCV2, umożliwiających analizę filogenetyczną oraz jednoznaczne rozróżnienie szczepów terenowych i szczepionkowych.</w:t>
      </w:r>
    </w:p>
    <w:p w14:paraId="63152B76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Calibri" w:hAnsi="Calibri" w:cs="Calibri"/>
        </w:rPr>
      </w:pPr>
      <w:r w:rsidRPr="001C6214">
        <w:rPr>
          <w:rFonts w:ascii="Calibri" w:eastAsia="Calibri" w:hAnsi="Calibri" w:cs="Calibri"/>
          <w:b/>
          <w:bCs/>
        </w:rPr>
        <w:t>Sposób weryfikacji:</w:t>
      </w:r>
    </w:p>
    <w:p w14:paraId="3E3144B4" w14:textId="77777777" w:rsidR="001C6214" w:rsidRPr="001C6214" w:rsidRDefault="001C6214" w:rsidP="00147FED">
      <w:pPr>
        <w:numPr>
          <w:ilvl w:val="0"/>
          <w:numId w:val="40"/>
        </w:numPr>
        <w:tabs>
          <w:tab w:val="num" w:pos="284"/>
        </w:tabs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</w:rPr>
      </w:pPr>
      <w:r w:rsidRPr="001C6214">
        <w:rPr>
          <w:rFonts w:ascii="Calibri" w:eastAsia="Calibri" w:hAnsi="Calibri" w:cs="Calibri"/>
        </w:rPr>
        <w:t>Raport z analizy in silico potwierdzający specyficzność zaprojektowanych starterów oraz filogenetyczną użyteczność wybranych targetów. Zidentyfikowane i zatwierdzone przez Zamawiającego regiony docelowe, potwierdzające zdolność wybranych targetów do rozróżniania szczepów terenowych i szczepionkowych;</w:t>
      </w:r>
    </w:p>
    <w:p w14:paraId="03258A61" w14:textId="77777777" w:rsidR="001C6214" w:rsidRPr="001C6214" w:rsidRDefault="001C6214" w:rsidP="00147FED">
      <w:pPr>
        <w:numPr>
          <w:ilvl w:val="0"/>
          <w:numId w:val="40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Calibri" w:eastAsia="Calibri" w:hAnsi="Calibri" w:cs="Calibri"/>
        </w:rPr>
      </w:pPr>
      <w:r w:rsidRPr="001C6214">
        <w:rPr>
          <w:rFonts w:ascii="Calibri" w:eastAsia="Calibri" w:hAnsi="Calibri" w:cs="Calibri"/>
        </w:rPr>
        <w:t>Pełna optymalizacja i walidacja RT</w:t>
      </w:r>
      <w:r w:rsidRPr="001C6214">
        <w:rPr>
          <w:rFonts w:ascii="Calibri" w:eastAsia="Calibri" w:hAnsi="Calibri" w:cs="Calibri"/>
        </w:rPr>
        <w:noBreakHyphen/>
        <w:t>PCR/PCR dla wszystkich patogenów. Raport z wynikami testów laboratoryjnych potwierdzających skuteczność i powtarzalność amplifikacji, rozumianą jako odsetek udanych amplifikacji w próbach referencyjnych przy zdefiniowanych warunkach reakcji na poziomie ≥95%;</w:t>
      </w:r>
    </w:p>
    <w:p w14:paraId="523A6EAC" w14:textId="77777777" w:rsidR="001C6214" w:rsidRPr="001C6214" w:rsidRDefault="001C6214" w:rsidP="00147FED">
      <w:pPr>
        <w:numPr>
          <w:ilvl w:val="0"/>
          <w:numId w:val="40"/>
        </w:numPr>
        <w:tabs>
          <w:tab w:val="num" w:pos="284"/>
        </w:tabs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</w:rPr>
      </w:pPr>
      <w:r w:rsidRPr="001C6214">
        <w:rPr>
          <w:rFonts w:ascii="Calibri" w:eastAsia="Calibri" w:hAnsi="Calibri" w:cs="Calibri"/>
        </w:rPr>
        <w:t>Potwierdzenie w warunkach laboratoryjnych, że uzyskane amplikony umożliwiają rozdział szczepów terenowych i szczepionkowych w analizie filogenetycznej.</w:t>
      </w:r>
    </w:p>
    <w:p w14:paraId="26B4A89C" w14:textId="77777777" w:rsidR="001C6214" w:rsidRPr="001C6214" w:rsidRDefault="001C6214" w:rsidP="00147FED">
      <w:pPr>
        <w:numPr>
          <w:ilvl w:val="0"/>
          <w:numId w:val="40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Calibri" w:eastAsia="Calibri" w:hAnsi="Calibri" w:cs="Calibri"/>
        </w:rPr>
      </w:pPr>
      <w:r w:rsidRPr="001C6214">
        <w:rPr>
          <w:rFonts w:ascii="Calibri" w:eastAsia="Calibri" w:hAnsi="Calibri" w:cs="Calibri"/>
        </w:rPr>
        <w:t>Potwierdzona przydatność uzyskanych amplikonów do dalszego sekwencjonowania poprzez analizę danych sekwencyjnych z próbnych bibliotek NGS,</w:t>
      </w:r>
    </w:p>
    <w:p w14:paraId="7BB53745" w14:textId="77777777" w:rsidR="001C6214" w:rsidRPr="001C6214" w:rsidRDefault="001C6214" w:rsidP="001C6214">
      <w:pPr>
        <w:numPr>
          <w:ilvl w:val="0"/>
          <w:numId w:val="40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Calibri" w:eastAsia="Calibri" w:hAnsi="Calibri" w:cs="Calibri"/>
        </w:rPr>
      </w:pPr>
      <w:r w:rsidRPr="001C6214">
        <w:rPr>
          <w:rFonts w:ascii="Calibri" w:eastAsia="Calibri" w:hAnsi="Calibri" w:cs="Calibri"/>
        </w:rPr>
        <w:t xml:space="preserve">Analiza filogenetyczna uzyskanych sekwencji wykazuje odrębne klastrowanie szczepów terenowych i szczepionkowych, zgodnie z danymi referencyjnymi. </w:t>
      </w:r>
    </w:p>
    <w:p w14:paraId="721640A8" w14:textId="77777777" w:rsidR="001C6214" w:rsidRPr="001C6214" w:rsidRDefault="001C6214" w:rsidP="001C6214">
      <w:pPr>
        <w:spacing w:after="0" w:line="360" w:lineRule="auto"/>
        <w:ind w:left="284"/>
        <w:jc w:val="both"/>
        <w:rPr>
          <w:rFonts w:ascii="Calibri" w:eastAsia="Tahoma" w:hAnsi="Calibri" w:cs="Calibri"/>
        </w:rPr>
      </w:pPr>
    </w:p>
    <w:p w14:paraId="5ABB7121" w14:textId="77777777" w:rsidR="001C6214" w:rsidRPr="001C6214" w:rsidRDefault="001C6214" w:rsidP="001C6214">
      <w:pPr>
        <w:spacing w:after="0"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1C6214">
        <w:rPr>
          <w:rFonts w:ascii="Calibri" w:eastAsia="Tahoma" w:hAnsi="Calibri" w:cs="Calibri"/>
          <w:b/>
          <w:bCs/>
          <w:sz w:val="24"/>
          <w:szCs w:val="24"/>
        </w:rPr>
        <w:t>Formalne potwierdzenie wykonania usługi</w:t>
      </w:r>
    </w:p>
    <w:p w14:paraId="63EFE1D1" w14:textId="77777777" w:rsidR="001C6214" w:rsidRPr="001C6214" w:rsidRDefault="001C6214" w:rsidP="001C6214">
      <w:pPr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Calibri"/>
          <w:color w:val="000000"/>
        </w:rPr>
      </w:pPr>
      <w:r w:rsidRPr="001C6214">
        <w:rPr>
          <w:rFonts w:ascii="Calibri" w:eastAsia="Calibri" w:hAnsi="Calibri" w:cs="Calibri"/>
          <w:color w:val="000000"/>
        </w:rPr>
        <w:t>Podstawą odbioru usługi będą raport końcowy oraz raporty cząstkowe dla poszczególnych etapów prac, zawierające wyniki analiz, protokoły RT-PCR/PCR (SOP) oraz dokumentację walidacyjną.</w:t>
      </w:r>
    </w:p>
    <w:p w14:paraId="6E741789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B7D0C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sectPr w:rsidR="002D7682" w:rsidSect="0045653E">
      <w:footerReference w:type="default" r:id="rId8"/>
      <w:headerReference w:type="first" r:id="rId9"/>
      <w:footerReference w:type="first" r:id="rId10"/>
      <w:pgSz w:w="11906" w:h="16838"/>
      <w:pgMar w:top="181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2D75D" w14:textId="77777777" w:rsidR="00DD1AFB" w:rsidRDefault="00DD1AFB" w:rsidP="000905D2">
      <w:pPr>
        <w:spacing w:after="0" w:line="240" w:lineRule="auto"/>
      </w:pPr>
      <w:r>
        <w:separator/>
      </w:r>
    </w:p>
  </w:endnote>
  <w:endnote w:type="continuationSeparator" w:id="0">
    <w:p w14:paraId="33C2DAD4" w14:textId="77777777" w:rsidR="00DD1AFB" w:rsidRDefault="00DD1AFB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3971829"/>
      <w:docPartObj>
        <w:docPartGallery w:val="Page Numbers (Bottom of Page)"/>
        <w:docPartUnique/>
      </w:docPartObj>
    </w:sdtPr>
    <w:sdtContent>
      <w:p w14:paraId="7621DBC2" w14:textId="77777777" w:rsidR="00FA530E" w:rsidRPr="00484231" w:rsidRDefault="007169BC">
        <w:pPr>
          <w:pStyle w:val="Stopka"/>
          <w:jc w:val="right"/>
        </w:pPr>
        <w:r w:rsidRPr="00484231">
          <w:fldChar w:fldCharType="begin"/>
        </w:r>
        <w:r w:rsidR="00FA530E" w:rsidRPr="00484231">
          <w:instrText xml:space="preserve"> PAGE   \* MERGEFORMAT </w:instrText>
        </w:r>
        <w:r w:rsidRPr="00484231">
          <w:fldChar w:fldCharType="separate"/>
        </w:r>
        <w:r w:rsidR="00671516">
          <w:rPr>
            <w:noProof/>
          </w:rPr>
          <w:t>4</w:t>
        </w:r>
        <w:r w:rsidRPr="00484231">
          <w:fldChar w:fldCharType="end"/>
        </w:r>
      </w:p>
    </w:sdtContent>
  </w:sdt>
  <w:p w14:paraId="0BF89F23" w14:textId="77777777" w:rsidR="00FA530E" w:rsidRDefault="00FA53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8068442"/>
      <w:docPartObj>
        <w:docPartGallery w:val="Page Numbers (Bottom of Page)"/>
        <w:docPartUnique/>
      </w:docPartObj>
    </w:sdtPr>
    <w:sdtContent>
      <w:p w14:paraId="7EFE54F7" w14:textId="742BD58B" w:rsidR="0045653E" w:rsidRDefault="004565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8A9D30" w14:textId="77777777" w:rsidR="0045653E" w:rsidRDefault="004565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7CABB" w14:textId="77777777" w:rsidR="00DD1AFB" w:rsidRDefault="00DD1AFB" w:rsidP="000905D2">
      <w:pPr>
        <w:spacing w:after="0" w:line="240" w:lineRule="auto"/>
      </w:pPr>
      <w:r>
        <w:separator/>
      </w:r>
    </w:p>
  </w:footnote>
  <w:footnote w:type="continuationSeparator" w:id="0">
    <w:p w14:paraId="3CAE9A24" w14:textId="77777777" w:rsidR="00DD1AFB" w:rsidRDefault="00DD1AFB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41F1D" w14:textId="23FC136B" w:rsidR="0045653E" w:rsidRDefault="0045653E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1881B4A8" wp14:editId="32CF001C">
          <wp:simplePos x="0" y="0"/>
          <wp:positionH relativeFrom="margin">
            <wp:posOffset>0</wp:posOffset>
          </wp:positionH>
          <wp:positionV relativeFrom="topMargin">
            <wp:posOffset>456565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1425D6E"/>
    <w:multiLevelType w:val="hybridMultilevel"/>
    <w:tmpl w:val="42E01106"/>
    <w:lvl w:ilvl="0" w:tplc="0415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" w15:restartNumberingAfterBreak="0">
    <w:nsid w:val="015264D0"/>
    <w:multiLevelType w:val="hybridMultilevel"/>
    <w:tmpl w:val="B2B422B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620073"/>
    <w:multiLevelType w:val="multilevel"/>
    <w:tmpl w:val="EA508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7C376B"/>
    <w:multiLevelType w:val="multilevel"/>
    <w:tmpl w:val="0A442AE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 w15:restartNumberingAfterBreak="0">
    <w:nsid w:val="0EDB1BD1"/>
    <w:multiLevelType w:val="hybridMultilevel"/>
    <w:tmpl w:val="DAF2222A"/>
    <w:lvl w:ilvl="0" w:tplc="8580EA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096F08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6226E6"/>
    <w:multiLevelType w:val="hybridMultilevel"/>
    <w:tmpl w:val="3B26AD46"/>
    <w:lvl w:ilvl="0" w:tplc="E6305C8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086B1F"/>
    <w:multiLevelType w:val="hybridMultilevel"/>
    <w:tmpl w:val="63400710"/>
    <w:lvl w:ilvl="0" w:tplc="64F0DC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9169A2"/>
    <w:multiLevelType w:val="hybridMultilevel"/>
    <w:tmpl w:val="4EB287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3F6644"/>
    <w:multiLevelType w:val="hybridMultilevel"/>
    <w:tmpl w:val="F6AEFF2C"/>
    <w:lvl w:ilvl="0" w:tplc="DEFCFD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A41444"/>
    <w:multiLevelType w:val="hybridMultilevel"/>
    <w:tmpl w:val="06EE4086"/>
    <w:lvl w:ilvl="0" w:tplc="AD123C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261232"/>
    <w:multiLevelType w:val="hybridMultilevel"/>
    <w:tmpl w:val="7C2AE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E579B5"/>
    <w:multiLevelType w:val="hybridMultilevel"/>
    <w:tmpl w:val="59BE3DB6"/>
    <w:lvl w:ilvl="0" w:tplc="F7F8B00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5B147C"/>
    <w:multiLevelType w:val="hybridMultilevel"/>
    <w:tmpl w:val="088E6C4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8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9" w15:restartNumberingAfterBreak="0">
    <w:nsid w:val="33921841"/>
    <w:multiLevelType w:val="hybridMultilevel"/>
    <w:tmpl w:val="E0326338"/>
    <w:lvl w:ilvl="0" w:tplc="0922D4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A6E34"/>
    <w:multiLevelType w:val="multilevel"/>
    <w:tmpl w:val="38CC5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B40802"/>
    <w:multiLevelType w:val="hybridMultilevel"/>
    <w:tmpl w:val="26EC7AB6"/>
    <w:lvl w:ilvl="0" w:tplc="D4F4384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0E31214"/>
    <w:multiLevelType w:val="hybridMultilevel"/>
    <w:tmpl w:val="76C83FC6"/>
    <w:lvl w:ilvl="0" w:tplc="1E9811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D34FE3"/>
    <w:multiLevelType w:val="hybridMultilevel"/>
    <w:tmpl w:val="03E00E0E"/>
    <w:lvl w:ilvl="0" w:tplc="9E18A98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70741D"/>
    <w:multiLevelType w:val="multilevel"/>
    <w:tmpl w:val="90466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CB9080E"/>
    <w:multiLevelType w:val="hybridMultilevel"/>
    <w:tmpl w:val="A426B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F648C0"/>
    <w:multiLevelType w:val="hybridMultilevel"/>
    <w:tmpl w:val="32649F24"/>
    <w:lvl w:ilvl="0" w:tplc="540A7A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C90562"/>
    <w:multiLevelType w:val="hybridMultilevel"/>
    <w:tmpl w:val="E19EE4D0"/>
    <w:lvl w:ilvl="0" w:tplc="7B58708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0B30C5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EB44A4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1" w15:restartNumberingAfterBreak="0">
    <w:nsid w:val="60986742"/>
    <w:multiLevelType w:val="hybridMultilevel"/>
    <w:tmpl w:val="25466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BF2A9B"/>
    <w:multiLevelType w:val="multilevel"/>
    <w:tmpl w:val="4E64A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CB59B6"/>
    <w:multiLevelType w:val="hybridMultilevel"/>
    <w:tmpl w:val="B1F812A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B2B2DCC"/>
    <w:multiLevelType w:val="multilevel"/>
    <w:tmpl w:val="35D0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36F37EC"/>
    <w:multiLevelType w:val="hybridMultilevel"/>
    <w:tmpl w:val="C5A0179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F350BD"/>
    <w:multiLevelType w:val="hybridMultilevel"/>
    <w:tmpl w:val="3B3CD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527070"/>
    <w:multiLevelType w:val="multilevel"/>
    <w:tmpl w:val="95348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A9C01FF"/>
    <w:multiLevelType w:val="multilevel"/>
    <w:tmpl w:val="2178484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07695E"/>
    <w:multiLevelType w:val="hybridMultilevel"/>
    <w:tmpl w:val="97B0C510"/>
    <w:lvl w:ilvl="0" w:tplc="93A6A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8E0B13"/>
    <w:multiLevelType w:val="hybridMultilevel"/>
    <w:tmpl w:val="375413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754126">
    <w:abstractNumId w:val="35"/>
  </w:num>
  <w:num w:numId="2" w16cid:durableId="1917352455">
    <w:abstractNumId w:val="30"/>
  </w:num>
  <w:num w:numId="3" w16cid:durableId="1216117475">
    <w:abstractNumId w:val="28"/>
  </w:num>
  <w:num w:numId="4" w16cid:durableId="1305357799">
    <w:abstractNumId w:val="13"/>
  </w:num>
  <w:num w:numId="5" w16cid:durableId="1075469926">
    <w:abstractNumId w:val="9"/>
  </w:num>
  <w:num w:numId="6" w16cid:durableId="1007515218">
    <w:abstractNumId w:val="3"/>
  </w:num>
  <w:num w:numId="7" w16cid:durableId="110562380">
    <w:abstractNumId w:val="23"/>
  </w:num>
  <w:num w:numId="8" w16cid:durableId="803278709">
    <w:abstractNumId w:val="29"/>
  </w:num>
  <w:num w:numId="9" w16cid:durableId="1789231045">
    <w:abstractNumId w:val="21"/>
  </w:num>
  <w:num w:numId="10" w16cid:durableId="341858207">
    <w:abstractNumId w:val="18"/>
  </w:num>
  <w:num w:numId="11" w16cid:durableId="2127041643">
    <w:abstractNumId w:val="6"/>
  </w:num>
  <w:num w:numId="12" w16cid:durableId="249969602">
    <w:abstractNumId w:val="7"/>
  </w:num>
  <w:num w:numId="13" w16cid:durableId="192306982">
    <w:abstractNumId w:val="22"/>
  </w:num>
  <w:num w:numId="14" w16cid:durableId="919370909">
    <w:abstractNumId w:val="39"/>
  </w:num>
  <w:num w:numId="15" w16cid:durableId="441385382">
    <w:abstractNumId w:val="11"/>
  </w:num>
  <w:num w:numId="16" w16cid:durableId="377095876">
    <w:abstractNumId w:val="14"/>
  </w:num>
  <w:num w:numId="17" w16cid:durableId="1058045893">
    <w:abstractNumId w:val="26"/>
  </w:num>
  <w:num w:numId="18" w16cid:durableId="455761771">
    <w:abstractNumId w:val="16"/>
  </w:num>
  <w:num w:numId="19" w16cid:durableId="1814520768">
    <w:abstractNumId w:val="12"/>
  </w:num>
  <w:num w:numId="20" w16cid:durableId="1398473446">
    <w:abstractNumId w:val="24"/>
  </w:num>
  <w:num w:numId="21" w16cid:durableId="1627853015">
    <w:abstractNumId w:val="31"/>
  </w:num>
  <w:num w:numId="22" w16cid:durableId="776676829">
    <w:abstractNumId w:val="40"/>
  </w:num>
  <w:num w:numId="23" w16cid:durableId="1095520056">
    <w:abstractNumId w:val="15"/>
  </w:num>
  <w:num w:numId="24" w16cid:durableId="783619385">
    <w:abstractNumId w:val="17"/>
  </w:num>
  <w:num w:numId="25" w16cid:durableId="388571891">
    <w:abstractNumId w:val="19"/>
  </w:num>
  <w:num w:numId="26" w16cid:durableId="292907779">
    <w:abstractNumId w:val="36"/>
  </w:num>
  <w:num w:numId="27" w16cid:durableId="677387432">
    <w:abstractNumId w:val="8"/>
  </w:num>
  <w:num w:numId="28" w16cid:durableId="1979534707">
    <w:abstractNumId w:val="34"/>
  </w:num>
  <w:num w:numId="29" w16cid:durableId="1280524352">
    <w:abstractNumId w:val="27"/>
  </w:num>
  <w:num w:numId="30" w16cid:durableId="1722098051">
    <w:abstractNumId w:val="2"/>
  </w:num>
  <w:num w:numId="31" w16cid:durableId="1768695631">
    <w:abstractNumId w:val="41"/>
  </w:num>
  <w:num w:numId="32" w16cid:durableId="694305550">
    <w:abstractNumId w:val="10"/>
  </w:num>
  <w:num w:numId="33" w16cid:durableId="396559683">
    <w:abstractNumId w:val="1"/>
  </w:num>
  <w:num w:numId="34" w16cid:durableId="1093665258">
    <w:abstractNumId w:val="38"/>
  </w:num>
  <w:num w:numId="35" w16cid:durableId="707143441">
    <w:abstractNumId w:val="5"/>
  </w:num>
  <w:num w:numId="36" w16cid:durableId="1620914842">
    <w:abstractNumId w:val="25"/>
  </w:num>
  <w:num w:numId="37" w16cid:durableId="718480390">
    <w:abstractNumId w:val="37"/>
  </w:num>
  <w:num w:numId="38" w16cid:durableId="2112360295">
    <w:abstractNumId w:val="20"/>
  </w:num>
  <w:num w:numId="39" w16cid:durableId="1927763277">
    <w:abstractNumId w:val="4"/>
  </w:num>
  <w:num w:numId="40" w16cid:durableId="1646469730">
    <w:abstractNumId w:val="32"/>
  </w:num>
  <w:num w:numId="41" w16cid:durableId="695352593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2C71"/>
    <w:rsid w:val="00020430"/>
    <w:rsid w:val="00021E0F"/>
    <w:rsid w:val="00023072"/>
    <w:rsid w:val="00024865"/>
    <w:rsid w:val="00034D5B"/>
    <w:rsid w:val="000418E5"/>
    <w:rsid w:val="000621E3"/>
    <w:rsid w:val="00070C14"/>
    <w:rsid w:val="000719C9"/>
    <w:rsid w:val="00073526"/>
    <w:rsid w:val="00077EC8"/>
    <w:rsid w:val="0008461A"/>
    <w:rsid w:val="000905D2"/>
    <w:rsid w:val="000A3900"/>
    <w:rsid w:val="000A5B8E"/>
    <w:rsid w:val="000A7562"/>
    <w:rsid w:val="000B1C8E"/>
    <w:rsid w:val="000F4631"/>
    <w:rsid w:val="00100549"/>
    <w:rsid w:val="0010102E"/>
    <w:rsid w:val="00110240"/>
    <w:rsid w:val="001146D7"/>
    <w:rsid w:val="00114C01"/>
    <w:rsid w:val="00116BE8"/>
    <w:rsid w:val="001300B2"/>
    <w:rsid w:val="001450DF"/>
    <w:rsid w:val="00146061"/>
    <w:rsid w:val="00146D60"/>
    <w:rsid w:val="00147FED"/>
    <w:rsid w:val="00151393"/>
    <w:rsid w:val="00161FFC"/>
    <w:rsid w:val="0017582E"/>
    <w:rsid w:val="00184BC5"/>
    <w:rsid w:val="00184F07"/>
    <w:rsid w:val="00194550"/>
    <w:rsid w:val="00194EE9"/>
    <w:rsid w:val="0019594B"/>
    <w:rsid w:val="00196AC5"/>
    <w:rsid w:val="001A4B8E"/>
    <w:rsid w:val="001A5178"/>
    <w:rsid w:val="001A7653"/>
    <w:rsid w:val="001B1DDE"/>
    <w:rsid w:val="001B2238"/>
    <w:rsid w:val="001C3C4F"/>
    <w:rsid w:val="001C3E55"/>
    <w:rsid w:val="001C6214"/>
    <w:rsid w:val="001E067A"/>
    <w:rsid w:val="001E26E2"/>
    <w:rsid w:val="001E2ED3"/>
    <w:rsid w:val="001E55C5"/>
    <w:rsid w:val="001F7ED9"/>
    <w:rsid w:val="001F7F9E"/>
    <w:rsid w:val="00211B2A"/>
    <w:rsid w:val="00214FAD"/>
    <w:rsid w:val="00220EC7"/>
    <w:rsid w:val="002248B0"/>
    <w:rsid w:val="0026078E"/>
    <w:rsid w:val="00266D54"/>
    <w:rsid w:val="00267CA5"/>
    <w:rsid w:val="00273B8F"/>
    <w:rsid w:val="00281481"/>
    <w:rsid w:val="00291259"/>
    <w:rsid w:val="00295190"/>
    <w:rsid w:val="00297C4A"/>
    <w:rsid w:val="002A2BC5"/>
    <w:rsid w:val="002B359F"/>
    <w:rsid w:val="002B5604"/>
    <w:rsid w:val="002C0479"/>
    <w:rsid w:val="002C0978"/>
    <w:rsid w:val="002C1DF5"/>
    <w:rsid w:val="002C206B"/>
    <w:rsid w:val="002C209D"/>
    <w:rsid w:val="002C7F70"/>
    <w:rsid w:val="002D39D0"/>
    <w:rsid w:val="002D6361"/>
    <w:rsid w:val="002D7682"/>
    <w:rsid w:val="002E0A4B"/>
    <w:rsid w:val="002E7204"/>
    <w:rsid w:val="002F1276"/>
    <w:rsid w:val="002F2F18"/>
    <w:rsid w:val="00306A2A"/>
    <w:rsid w:val="00312289"/>
    <w:rsid w:val="0031411A"/>
    <w:rsid w:val="00314468"/>
    <w:rsid w:val="00320335"/>
    <w:rsid w:val="00327E91"/>
    <w:rsid w:val="0034034E"/>
    <w:rsid w:val="0034036E"/>
    <w:rsid w:val="00341485"/>
    <w:rsid w:val="00342F37"/>
    <w:rsid w:val="00343B76"/>
    <w:rsid w:val="00345F05"/>
    <w:rsid w:val="003605C8"/>
    <w:rsid w:val="00361E3B"/>
    <w:rsid w:val="00371061"/>
    <w:rsid w:val="00373024"/>
    <w:rsid w:val="00387180"/>
    <w:rsid w:val="00390AAF"/>
    <w:rsid w:val="00391D86"/>
    <w:rsid w:val="003958A1"/>
    <w:rsid w:val="003A4F4C"/>
    <w:rsid w:val="003A7551"/>
    <w:rsid w:val="003B3FA7"/>
    <w:rsid w:val="003B610E"/>
    <w:rsid w:val="003D2118"/>
    <w:rsid w:val="003E0033"/>
    <w:rsid w:val="003E2122"/>
    <w:rsid w:val="004021D8"/>
    <w:rsid w:val="00403326"/>
    <w:rsid w:val="00405483"/>
    <w:rsid w:val="004067BD"/>
    <w:rsid w:val="00425CB4"/>
    <w:rsid w:val="00427CFA"/>
    <w:rsid w:val="00430273"/>
    <w:rsid w:val="00436B4E"/>
    <w:rsid w:val="0043791C"/>
    <w:rsid w:val="0044764C"/>
    <w:rsid w:val="004501B8"/>
    <w:rsid w:val="00451789"/>
    <w:rsid w:val="0045523A"/>
    <w:rsid w:val="004558D1"/>
    <w:rsid w:val="0045653E"/>
    <w:rsid w:val="00463F5F"/>
    <w:rsid w:val="00470F71"/>
    <w:rsid w:val="00472C06"/>
    <w:rsid w:val="00477CB9"/>
    <w:rsid w:val="00482523"/>
    <w:rsid w:val="00483A57"/>
    <w:rsid w:val="00484231"/>
    <w:rsid w:val="00493D8A"/>
    <w:rsid w:val="004948D9"/>
    <w:rsid w:val="00495E45"/>
    <w:rsid w:val="004A1D03"/>
    <w:rsid w:val="004B0778"/>
    <w:rsid w:val="004B1753"/>
    <w:rsid w:val="004B5887"/>
    <w:rsid w:val="004B7185"/>
    <w:rsid w:val="004C174B"/>
    <w:rsid w:val="004C53D3"/>
    <w:rsid w:val="004C71B6"/>
    <w:rsid w:val="004C73EF"/>
    <w:rsid w:val="004D50D6"/>
    <w:rsid w:val="004F21BE"/>
    <w:rsid w:val="004F74CE"/>
    <w:rsid w:val="00501457"/>
    <w:rsid w:val="00503E78"/>
    <w:rsid w:val="0050455D"/>
    <w:rsid w:val="00505695"/>
    <w:rsid w:val="00507D1B"/>
    <w:rsid w:val="005106A6"/>
    <w:rsid w:val="00521746"/>
    <w:rsid w:val="0053185F"/>
    <w:rsid w:val="005359F6"/>
    <w:rsid w:val="00536D6C"/>
    <w:rsid w:val="00540786"/>
    <w:rsid w:val="00541FAF"/>
    <w:rsid w:val="00556B5C"/>
    <w:rsid w:val="00556D86"/>
    <w:rsid w:val="00564D37"/>
    <w:rsid w:val="0058619F"/>
    <w:rsid w:val="00593532"/>
    <w:rsid w:val="005A0112"/>
    <w:rsid w:val="005A208A"/>
    <w:rsid w:val="005B10A3"/>
    <w:rsid w:val="005B4E14"/>
    <w:rsid w:val="005B7987"/>
    <w:rsid w:val="005C7693"/>
    <w:rsid w:val="005D3873"/>
    <w:rsid w:val="005E4C9B"/>
    <w:rsid w:val="005F051A"/>
    <w:rsid w:val="00606C71"/>
    <w:rsid w:val="00607355"/>
    <w:rsid w:val="006123F1"/>
    <w:rsid w:val="006227DF"/>
    <w:rsid w:val="00623B5B"/>
    <w:rsid w:val="00625F00"/>
    <w:rsid w:val="0063330A"/>
    <w:rsid w:val="006352AC"/>
    <w:rsid w:val="00637205"/>
    <w:rsid w:val="006413E4"/>
    <w:rsid w:val="006439EE"/>
    <w:rsid w:val="0066650A"/>
    <w:rsid w:val="00670B1F"/>
    <w:rsid w:val="00671516"/>
    <w:rsid w:val="006770D4"/>
    <w:rsid w:val="00686769"/>
    <w:rsid w:val="00686EA1"/>
    <w:rsid w:val="006A6942"/>
    <w:rsid w:val="006A6B1B"/>
    <w:rsid w:val="006A747F"/>
    <w:rsid w:val="006B33BC"/>
    <w:rsid w:val="006B349C"/>
    <w:rsid w:val="006B3FD1"/>
    <w:rsid w:val="006C10A3"/>
    <w:rsid w:val="006C19BB"/>
    <w:rsid w:val="006C2EE9"/>
    <w:rsid w:val="006C7C48"/>
    <w:rsid w:val="006D1EE8"/>
    <w:rsid w:val="006D4B4E"/>
    <w:rsid w:val="006D6037"/>
    <w:rsid w:val="006F422A"/>
    <w:rsid w:val="006F79C8"/>
    <w:rsid w:val="007014FD"/>
    <w:rsid w:val="00702FD4"/>
    <w:rsid w:val="007064D1"/>
    <w:rsid w:val="0071035D"/>
    <w:rsid w:val="007169BC"/>
    <w:rsid w:val="00724147"/>
    <w:rsid w:val="007244E7"/>
    <w:rsid w:val="00731473"/>
    <w:rsid w:val="00732587"/>
    <w:rsid w:val="007475B6"/>
    <w:rsid w:val="00751E37"/>
    <w:rsid w:val="007523B7"/>
    <w:rsid w:val="00764592"/>
    <w:rsid w:val="00770017"/>
    <w:rsid w:val="0077139B"/>
    <w:rsid w:val="00781327"/>
    <w:rsid w:val="00782CF0"/>
    <w:rsid w:val="00790EA1"/>
    <w:rsid w:val="007923AC"/>
    <w:rsid w:val="007A0473"/>
    <w:rsid w:val="007A1A13"/>
    <w:rsid w:val="007A25CF"/>
    <w:rsid w:val="007A339F"/>
    <w:rsid w:val="007A497C"/>
    <w:rsid w:val="007B28E1"/>
    <w:rsid w:val="007B54ED"/>
    <w:rsid w:val="007C33E4"/>
    <w:rsid w:val="007C3564"/>
    <w:rsid w:val="007C536D"/>
    <w:rsid w:val="007C61CC"/>
    <w:rsid w:val="007C72DC"/>
    <w:rsid w:val="007D2508"/>
    <w:rsid w:val="007D789D"/>
    <w:rsid w:val="007D7D82"/>
    <w:rsid w:val="007E0880"/>
    <w:rsid w:val="007E2F1D"/>
    <w:rsid w:val="007E7A13"/>
    <w:rsid w:val="007F6463"/>
    <w:rsid w:val="008105CE"/>
    <w:rsid w:val="00811B27"/>
    <w:rsid w:val="00811E3B"/>
    <w:rsid w:val="0081413D"/>
    <w:rsid w:val="00821936"/>
    <w:rsid w:val="00834805"/>
    <w:rsid w:val="00840461"/>
    <w:rsid w:val="008536EC"/>
    <w:rsid w:val="00854634"/>
    <w:rsid w:val="0085724B"/>
    <w:rsid w:val="0086524E"/>
    <w:rsid w:val="00865723"/>
    <w:rsid w:val="00872F1D"/>
    <w:rsid w:val="00880C5E"/>
    <w:rsid w:val="00882C3A"/>
    <w:rsid w:val="00882C3E"/>
    <w:rsid w:val="00882DCE"/>
    <w:rsid w:val="00890C1B"/>
    <w:rsid w:val="00892F8D"/>
    <w:rsid w:val="00895550"/>
    <w:rsid w:val="008A1121"/>
    <w:rsid w:val="008A7471"/>
    <w:rsid w:val="008B116B"/>
    <w:rsid w:val="008B5A30"/>
    <w:rsid w:val="008B6ADA"/>
    <w:rsid w:val="008C0DE9"/>
    <w:rsid w:val="008C1685"/>
    <w:rsid w:val="008C68FF"/>
    <w:rsid w:val="008C6AB7"/>
    <w:rsid w:val="008E2D1E"/>
    <w:rsid w:val="008F466B"/>
    <w:rsid w:val="00904023"/>
    <w:rsid w:val="009113AD"/>
    <w:rsid w:val="009209F0"/>
    <w:rsid w:val="00920F74"/>
    <w:rsid w:val="00924B42"/>
    <w:rsid w:val="009337E2"/>
    <w:rsid w:val="009510D1"/>
    <w:rsid w:val="00962E41"/>
    <w:rsid w:val="00984FD1"/>
    <w:rsid w:val="00990A18"/>
    <w:rsid w:val="0099190A"/>
    <w:rsid w:val="00991F5C"/>
    <w:rsid w:val="00992A0F"/>
    <w:rsid w:val="009B2002"/>
    <w:rsid w:val="009B45D1"/>
    <w:rsid w:val="009C1A28"/>
    <w:rsid w:val="009C380A"/>
    <w:rsid w:val="009C713F"/>
    <w:rsid w:val="009D1B3A"/>
    <w:rsid w:val="009D4F8D"/>
    <w:rsid w:val="009D5140"/>
    <w:rsid w:val="009D64C6"/>
    <w:rsid w:val="009D7B00"/>
    <w:rsid w:val="009E6394"/>
    <w:rsid w:val="009F0847"/>
    <w:rsid w:val="009F24EC"/>
    <w:rsid w:val="00A03BE1"/>
    <w:rsid w:val="00A14C29"/>
    <w:rsid w:val="00A14D85"/>
    <w:rsid w:val="00A15A34"/>
    <w:rsid w:val="00A24977"/>
    <w:rsid w:val="00A25F3E"/>
    <w:rsid w:val="00A265BC"/>
    <w:rsid w:val="00A335F2"/>
    <w:rsid w:val="00A46987"/>
    <w:rsid w:val="00A46C3B"/>
    <w:rsid w:val="00A735C3"/>
    <w:rsid w:val="00A76520"/>
    <w:rsid w:val="00A92E4D"/>
    <w:rsid w:val="00A942EC"/>
    <w:rsid w:val="00A9754E"/>
    <w:rsid w:val="00AB46FA"/>
    <w:rsid w:val="00AB793D"/>
    <w:rsid w:val="00AC4E23"/>
    <w:rsid w:val="00AD1274"/>
    <w:rsid w:val="00AE5AA8"/>
    <w:rsid w:val="00AE5C06"/>
    <w:rsid w:val="00AE62FF"/>
    <w:rsid w:val="00AF55C3"/>
    <w:rsid w:val="00B07F63"/>
    <w:rsid w:val="00B1140C"/>
    <w:rsid w:val="00B22BD5"/>
    <w:rsid w:val="00B24CAB"/>
    <w:rsid w:val="00B25903"/>
    <w:rsid w:val="00B318AA"/>
    <w:rsid w:val="00B3302C"/>
    <w:rsid w:val="00B341DE"/>
    <w:rsid w:val="00B34D5C"/>
    <w:rsid w:val="00B365D9"/>
    <w:rsid w:val="00B36D07"/>
    <w:rsid w:val="00B37543"/>
    <w:rsid w:val="00B37709"/>
    <w:rsid w:val="00B42A91"/>
    <w:rsid w:val="00B443E5"/>
    <w:rsid w:val="00B57AA0"/>
    <w:rsid w:val="00B65A6B"/>
    <w:rsid w:val="00B6752D"/>
    <w:rsid w:val="00B803FB"/>
    <w:rsid w:val="00B805F8"/>
    <w:rsid w:val="00B8061C"/>
    <w:rsid w:val="00B82BC3"/>
    <w:rsid w:val="00B86146"/>
    <w:rsid w:val="00B925A7"/>
    <w:rsid w:val="00B93C81"/>
    <w:rsid w:val="00B95B86"/>
    <w:rsid w:val="00BA34FC"/>
    <w:rsid w:val="00BA3605"/>
    <w:rsid w:val="00BA7223"/>
    <w:rsid w:val="00BB259E"/>
    <w:rsid w:val="00BB2F68"/>
    <w:rsid w:val="00BB63AF"/>
    <w:rsid w:val="00BB68F0"/>
    <w:rsid w:val="00BC1C07"/>
    <w:rsid w:val="00BC318A"/>
    <w:rsid w:val="00BC5343"/>
    <w:rsid w:val="00BD116D"/>
    <w:rsid w:val="00BD2513"/>
    <w:rsid w:val="00BE2203"/>
    <w:rsid w:val="00BE614E"/>
    <w:rsid w:val="00C01E6E"/>
    <w:rsid w:val="00C047BC"/>
    <w:rsid w:val="00C144E7"/>
    <w:rsid w:val="00C22D9B"/>
    <w:rsid w:val="00C30C3E"/>
    <w:rsid w:val="00C32524"/>
    <w:rsid w:val="00C33CB8"/>
    <w:rsid w:val="00C3742B"/>
    <w:rsid w:val="00C37BA0"/>
    <w:rsid w:val="00C50CE0"/>
    <w:rsid w:val="00C57629"/>
    <w:rsid w:val="00C57C75"/>
    <w:rsid w:val="00C61547"/>
    <w:rsid w:val="00C63207"/>
    <w:rsid w:val="00C649C0"/>
    <w:rsid w:val="00C65D1E"/>
    <w:rsid w:val="00C65E17"/>
    <w:rsid w:val="00C80657"/>
    <w:rsid w:val="00C826D5"/>
    <w:rsid w:val="00C841C0"/>
    <w:rsid w:val="00C84A97"/>
    <w:rsid w:val="00C87BE1"/>
    <w:rsid w:val="00C90B9A"/>
    <w:rsid w:val="00C91FB2"/>
    <w:rsid w:val="00CA5727"/>
    <w:rsid w:val="00CB643F"/>
    <w:rsid w:val="00CC2237"/>
    <w:rsid w:val="00CD0547"/>
    <w:rsid w:val="00CE1771"/>
    <w:rsid w:val="00CE2A6C"/>
    <w:rsid w:val="00CE3540"/>
    <w:rsid w:val="00CE39C0"/>
    <w:rsid w:val="00CF5A80"/>
    <w:rsid w:val="00CF5E56"/>
    <w:rsid w:val="00D05F90"/>
    <w:rsid w:val="00D10493"/>
    <w:rsid w:val="00D1111B"/>
    <w:rsid w:val="00D11E27"/>
    <w:rsid w:val="00D11EE7"/>
    <w:rsid w:val="00D21983"/>
    <w:rsid w:val="00D33D18"/>
    <w:rsid w:val="00D35B5B"/>
    <w:rsid w:val="00D40F2B"/>
    <w:rsid w:val="00D43C58"/>
    <w:rsid w:val="00D47208"/>
    <w:rsid w:val="00D52756"/>
    <w:rsid w:val="00D63ABC"/>
    <w:rsid w:val="00D67513"/>
    <w:rsid w:val="00D71BF3"/>
    <w:rsid w:val="00D7268C"/>
    <w:rsid w:val="00D75F3E"/>
    <w:rsid w:val="00D86C91"/>
    <w:rsid w:val="00D8754C"/>
    <w:rsid w:val="00DA04E6"/>
    <w:rsid w:val="00DA0705"/>
    <w:rsid w:val="00DA1144"/>
    <w:rsid w:val="00DA23AF"/>
    <w:rsid w:val="00DA42AA"/>
    <w:rsid w:val="00DA48C4"/>
    <w:rsid w:val="00DA6958"/>
    <w:rsid w:val="00DB6A37"/>
    <w:rsid w:val="00DC0ED2"/>
    <w:rsid w:val="00DD1AFB"/>
    <w:rsid w:val="00DD2518"/>
    <w:rsid w:val="00DD4DBB"/>
    <w:rsid w:val="00DD5AB5"/>
    <w:rsid w:val="00DF28BF"/>
    <w:rsid w:val="00DF5235"/>
    <w:rsid w:val="00E101A6"/>
    <w:rsid w:val="00E14473"/>
    <w:rsid w:val="00E14A49"/>
    <w:rsid w:val="00E25AB8"/>
    <w:rsid w:val="00E26361"/>
    <w:rsid w:val="00E263D5"/>
    <w:rsid w:val="00E33430"/>
    <w:rsid w:val="00E33723"/>
    <w:rsid w:val="00E3388F"/>
    <w:rsid w:val="00E3474C"/>
    <w:rsid w:val="00E3621C"/>
    <w:rsid w:val="00E3627E"/>
    <w:rsid w:val="00E5676F"/>
    <w:rsid w:val="00E60ABC"/>
    <w:rsid w:val="00E65424"/>
    <w:rsid w:val="00E7214E"/>
    <w:rsid w:val="00E753DF"/>
    <w:rsid w:val="00E834FE"/>
    <w:rsid w:val="00E864A8"/>
    <w:rsid w:val="00EA1A38"/>
    <w:rsid w:val="00EA4185"/>
    <w:rsid w:val="00EA54F0"/>
    <w:rsid w:val="00EA6F01"/>
    <w:rsid w:val="00EB25C7"/>
    <w:rsid w:val="00EB4DA1"/>
    <w:rsid w:val="00EB59E6"/>
    <w:rsid w:val="00EC2A3F"/>
    <w:rsid w:val="00EC6292"/>
    <w:rsid w:val="00EC76F7"/>
    <w:rsid w:val="00ED5E74"/>
    <w:rsid w:val="00ED72D2"/>
    <w:rsid w:val="00ED7910"/>
    <w:rsid w:val="00EE25DA"/>
    <w:rsid w:val="00EE58CB"/>
    <w:rsid w:val="00EE71E2"/>
    <w:rsid w:val="00EF048B"/>
    <w:rsid w:val="00EF2022"/>
    <w:rsid w:val="00F01D6A"/>
    <w:rsid w:val="00F04705"/>
    <w:rsid w:val="00F26FEA"/>
    <w:rsid w:val="00F32736"/>
    <w:rsid w:val="00F35AD4"/>
    <w:rsid w:val="00F506EC"/>
    <w:rsid w:val="00F50D93"/>
    <w:rsid w:val="00F759C9"/>
    <w:rsid w:val="00F8742A"/>
    <w:rsid w:val="00F87D96"/>
    <w:rsid w:val="00FA1498"/>
    <w:rsid w:val="00FA2CE3"/>
    <w:rsid w:val="00FA530E"/>
    <w:rsid w:val="00FD4A6D"/>
    <w:rsid w:val="00FE051C"/>
    <w:rsid w:val="00FE054F"/>
    <w:rsid w:val="00FE57C8"/>
    <w:rsid w:val="00FF386A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2EFF7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paragraph" w:customStyle="1" w:styleId="Standard">
    <w:name w:val="Standard"/>
    <w:rsid w:val="006413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character" w:styleId="Pogrubienie">
    <w:name w:val="Strong"/>
    <w:basedOn w:val="Domylnaczcionkaakapitu"/>
    <w:uiPriority w:val="22"/>
    <w:qFormat/>
    <w:rsid w:val="00A265BC"/>
    <w:rPr>
      <w:b/>
      <w:bCs/>
    </w:rPr>
  </w:style>
  <w:style w:type="paragraph" w:styleId="NormalnyWeb">
    <w:name w:val="Normal (Web)"/>
    <w:basedOn w:val="Normalny"/>
    <w:uiPriority w:val="99"/>
    <w:unhideWhenUsed/>
    <w:rsid w:val="002D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tejustify">
    <w:name w:val="rtejustify"/>
    <w:basedOn w:val="Normalny"/>
    <w:rsid w:val="002D7682"/>
    <w:pPr>
      <w:spacing w:after="3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3ADEB-5147-4F1A-B2A7-8F62B894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2173</Words>
  <Characters>13043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24</cp:revision>
  <dcterms:created xsi:type="dcterms:W3CDTF">2022-03-29T03:14:00Z</dcterms:created>
  <dcterms:modified xsi:type="dcterms:W3CDTF">2026-02-03T13:32:00Z</dcterms:modified>
</cp:coreProperties>
</file>